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ascii="宋体" w:hAnsi="宋体" w:eastAsia="宋体" w:cs="宋体"/>
          <w:sz w:val="24"/>
          <w:szCs w:val="24"/>
        </w:rPr>
      </w:pPr>
      <w:bookmarkStart w:id="0" w:name="_GoBack"/>
      <w:bookmarkEnd w:id="0"/>
      <w:r>
        <w:rPr>
          <w:rFonts w:hint="eastAsia" w:ascii="宋体" w:hAnsi="宋体" w:cs="宋体"/>
          <w:sz w:val="24"/>
          <w:szCs w:val="24"/>
          <w:lang w:val="en-US" w:eastAsia="zh-CN"/>
        </w:rPr>
        <w:t xml:space="preserve">    </w:t>
      </w:r>
      <w:r>
        <w:rPr>
          <w:rFonts w:hint="eastAsia" w:ascii="宋体" w:hAnsi="宋体" w:eastAsia="宋体" w:cs="宋体"/>
          <w:sz w:val="24"/>
          <w:szCs w:val="24"/>
        </w:rPr>
        <w:t>《食品中可能违法添加的非食用物质名单》</w:t>
      </w:r>
      <w:r>
        <w:rPr>
          <w:rFonts w:hint="default" w:ascii="宋体" w:hAnsi="宋体" w:eastAsia="宋体" w:cs="宋体"/>
          <w:sz w:val="24"/>
          <w:szCs w:val="24"/>
        </w:rPr>
        <w:t>是为严厉打击违法添加非食用物质和滥用食品添加剂的违法犯罪行为，保护人民群众身体健康和生命安全，维护社会稳定和经济发展，全国打击违法添加非食用物质和滥用食品添加剂专项整治领导小组、</w:t>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"https://baike.baidu.com/item/%E5%8D%AB%E7%94%9F%E9%83%A8/2279561" \t "https://baike.baidu.com/item/%E9%A3%9F%E5%93%81%E4%B8%AD%E5%8F%AF%E8%83%BD%E8%BF%9D%E6%B3%95%E6%B7%BB%E5%8A%A0%E7%9A%84%E9%9D%9E%E9%A3%9F%E7%94%A8%E7%89%A9%E8%B4%A8%E5%90%8D%E5%8D%95/_blank" </w:instrText>
      </w:r>
      <w:r>
        <w:rPr>
          <w:rFonts w:hint="default" w:ascii="宋体" w:hAnsi="宋体" w:eastAsia="宋体" w:cs="宋体"/>
          <w:sz w:val="24"/>
          <w:szCs w:val="24"/>
        </w:rPr>
        <w:fldChar w:fldCharType="separate"/>
      </w:r>
      <w:r>
        <w:rPr>
          <w:rFonts w:hint="default" w:ascii="宋体" w:hAnsi="宋体" w:eastAsia="宋体" w:cs="宋体"/>
          <w:sz w:val="24"/>
          <w:szCs w:val="24"/>
        </w:rPr>
        <w:t>卫生部</w:t>
      </w:r>
      <w:r>
        <w:rPr>
          <w:rFonts w:hint="default" w:ascii="宋体" w:hAnsi="宋体" w:eastAsia="宋体" w:cs="宋体"/>
          <w:sz w:val="24"/>
          <w:szCs w:val="24"/>
        </w:rPr>
        <w:fldChar w:fldCharType="end"/>
      </w:r>
      <w:r>
        <w:rPr>
          <w:rFonts w:hint="default" w:ascii="宋体" w:hAnsi="宋体" w:eastAsia="宋体" w:cs="宋体"/>
          <w:sz w:val="24"/>
          <w:szCs w:val="24"/>
        </w:rPr>
        <w:t>陆续制定的名单。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黑体" w:hAnsi="宋体" w:eastAsia="黑体" w:cs="黑体"/>
        </w:rPr>
        <w:t>食品中可能违法添加的非食用物质名单（47种）</w:t>
      </w:r>
    </w:p>
    <w:tbl>
      <w:tblPr>
        <w:tblStyle w:val="3"/>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36"/>
        <w:gridCol w:w="889"/>
        <w:gridCol w:w="1575"/>
        <w:gridCol w:w="5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center"/>
              <w:rPr>
                <w:sz w:val="24"/>
                <w:szCs w:val="24"/>
              </w:rPr>
            </w:pPr>
            <w:r>
              <w:rPr>
                <w:rFonts w:hint="eastAsia" w:ascii="宋体" w:hAnsi="宋体" w:eastAsia="宋体" w:cs="宋体"/>
                <w:sz w:val="24"/>
                <w:szCs w:val="24"/>
              </w:rPr>
              <w:t>序号</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center"/>
              <w:rPr>
                <w:sz w:val="24"/>
                <w:szCs w:val="24"/>
              </w:rPr>
            </w:pPr>
            <w:r>
              <w:rPr>
                <w:rFonts w:hint="eastAsia" w:ascii="宋体" w:hAnsi="宋体" w:eastAsia="宋体" w:cs="宋体"/>
                <w:sz w:val="24"/>
                <w:szCs w:val="24"/>
              </w:rPr>
              <w:t>名称</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center"/>
              <w:rPr>
                <w:sz w:val="24"/>
                <w:szCs w:val="24"/>
              </w:rPr>
            </w:pPr>
            <w:r>
              <w:rPr>
                <w:rFonts w:hint="eastAsia" w:ascii="宋体" w:hAnsi="宋体" w:eastAsia="宋体" w:cs="宋体"/>
                <w:sz w:val="24"/>
                <w:szCs w:val="24"/>
              </w:rPr>
              <w:t>可能添加的食品品种</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center"/>
              <w:rPr>
                <w:sz w:val="24"/>
                <w:szCs w:val="24"/>
              </w:rPr>
            </w:pPr>
            <w:r>
              <w:rPr>
                <w:rFonts w:hint="eastAsia" w:ascii="宋体" w:hAnsi="宋体" w:eastAsia="宋体" w:cs="宋体"/>
                <w:sz w:val="24"/>
                <w:szCs w:val="24"/>
              </w:rPr>
              <w:t>检测方法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吊白块</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腐竹、粉丝、面粉、竹笋</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GB/T 21126-2007 小麦粉与大米粉及其制品中甲醛次硫酸氢钠含量的测定；卫生部《关于印发面粉、油脂中过氧化苯甲酰测定等检验方法的通知》（卫监发〔2001〕159号）附件2 食品中甲醛次硫酸氢钠的测定方法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苏丹红</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辣椒粉、含辣椒类的食品（辣椒酱、辣味调味品）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GB/T 19681-2005 食品中苏丹红染料的检测方法高效液相色谱法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王金黄、块黄</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腐皮</w:t>
            </w:r>
          </w:p>
        </w:tc>
        <w:tc>
          <w:tcPr>
            <w:tcW w:w="3150" w:type="pct"/>
            <w:tcBorders>
              <w:tl2br w:val="nil"/>
              <w:tr2bl w:val="nil"/>
            </w:tcBorders>
            <w:noWrap w:val="0"/>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line="360" w:lineRule="auto"/>
              <w:ind w:left="0" w:right="0"/>
              <w:jc w:val="left"/>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4</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蛋白精、三聚氰胺</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乳及乳制品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GB/T 22388-2008 原料乳与乳制品中三聚氰胺检测方法 GB/T   22400-2008 原料乳中三聚氰胺快速检测液相色谱法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5</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硼酸与硼砂</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腐竹、肉丸、凉粉、凉皮、面条、饺子皮</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6</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硫氰酸钠</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乳及乳制品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7</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玫瑰红B</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调味品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8</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美术绿</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茶叶</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9</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碱性嫩黄</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豆制品</w:t>
            </w:r>
          </w:p>
        </w:tc>
        <w:tc>
          <w:tcPr>
            <w:tcW w:w="3150" w:type="pct"/>
            <w:tcBorders>
              <w:tl2br w:val="nil"/>
              <w:tr2bl w:val="nil"/>
            </w:tcBorders>
            <w:noWrap w:val="0"/>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line="360" w:lineRule="auto"/>
              <w:ind w:left="0" w:right="0"/>
              <w:jc w:val="left"/>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10</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工业用甲醛</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海参、鱿鱼等干水产品、血豆腐</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SC/T 3025-2006 水产品中甲醛的测定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11</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工业用火碱</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海参、鱿鱼等干水产品、生鲜乳</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12</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一氧化碳</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金枪鱼、三文鱼</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13</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硫化钠</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味精</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14</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工业硫磺</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白砂糖、辣椒、蜜饯、银耳、龙眼、胡萝卜、姜等</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15</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工业染料</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小米、玉米粉、熟肉制品等</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16</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罂粟壳</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火锅底料及小吃类</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参照上海市食品药品检验所自建方法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17</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革皮水解物</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乳与乳制品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含乳饮料</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乳与乳制品中动物水解蛋白鉴定－L（－）－羟脯氨酸含量测定（检测方法由中国检验检疫科学院食品安全所提供。该方法仅适应于生鲜乳、纯牛奶、奶粉。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18</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溴酸钾</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小麦粉</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GB/T 20188-2006 小麦粉中溴酸盐的测定 离子色谱法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19</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β-内酰胺酶（金玉兰酶制剂）</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乳与乳制品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液相色谱法（检测方法由中国检验检疫科学院食品安全所提供。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20</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富马酸二甲酯</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糕点</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气相色谱法（检测方法由中国疾病预防控制中心营养与食品安全所提供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21</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废弃食用油脂</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食用油脂</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22</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工业用矿物油</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陈化大米</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23</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工业明胶</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冰淇淋、肉皮冻等</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24</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工业酒精</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勾兑假酒</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25</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敌敌畏</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火腿、鱼干、咸鱼等制品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 T5009.20-2003食品中有机磷农药残留的测定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26</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毛发水</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酱油等</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27</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工业用乙酸</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勾兑食醋</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GB/T5009.41-2003食醋卫生标准的分析方法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28</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肾上腺素受体激动剂类药物（盐酸克伦特罗，莱克多巴胺等）</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猪肉、牛羊肉及肝脏等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GB-T22286-2008 动物源性食品中多种β-受体激动剂残留量的测定，液相色谱串联质谱法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29</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硝基呋喃类药物</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猪肉、禽肉、动物性水产品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color w:val="auto"/>
                <w:sz w:val="24"/>
                <w:szCs w:val="24"/>
              </w:rPr>
              <w:t>GB/T   21311-2007 动物源性食品中硝基呋喃类药物代谢物残留量检测方法，高效液相色谱-串联质谱法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30</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玉米赤霉醇</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牛羊肉及肝脏、牛奶</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color w:val="auto"/>
                <w:sz w:val="24"/>
                <w:szCs w:val="24"/>
              </w:rPr>
              <w:t>GB/T   21982-2008 动物源食品中玉米赤霉醇、β-玉米赤霉醇、α-玉米赤霉烯醇、β-玉米赤霉烯醇、玉米赤霉酮和赤霉烯酮残留量检测方法，液相色谱-质谱/质谱法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31</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抗生素残渣</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猪肉</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无，需要研制动物性食品中测定万古霉素的液相色谱-串联质谱法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32</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镇静剂</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猪肉</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参考</w:t>
            </w:r>
            <w:r>
              <w:rPr>
                <w:rFonts w:hint="eastAsia" w:ascii="宋体" w:hAnsi="宋体" w:eastAsia="宋体" w:cs="宋体"/>
                <w:color w:val="auto"/>
                <w:sz w:val="24"/>
                <w:szCs w:val="24"/>
              </w:rPr>
              <w:t>GB/T 20763-2006 猪肾和肌肉组织中乙酰丙嗪、氯丙嗪、氟哌啶醇、丙酰二甲氨基丙吩噻嗪、甲苯噻嗪、阿扎哌垄阿扎哌醇、咔唑心安残留量的测定，液相色谱-串联质谱法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无，需要研制动物性食品中测定安定的液相色谱-串联质谱法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33</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荧光增白物质</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双孢蘑菇、金针菇、白灵菇、面粉</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蘑菇样品可通过照射进行定性检测。面粉样品无检测方法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34</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工业氯化镁</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木耳</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35</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磷化铝</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木耳</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36</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馅料原料漂白剂</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焙烤食品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无，需要研制馅料原料中二氧化硫脲的测定方法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37</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酸性橙Ⅱ</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黄鱼、鲍汁、腌卤肉制品、红壳瓜子、辣椒面和豆瓣酱</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无，需要研制食品中酸性橙II的测定方法。参照江苏省疾控创建的鲍汁中酸性橙II的高效液相色谱-串联质谱法（说明：水洗方法可作为补充，如果脱色，可怀疑是违法添加了色素）。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38</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氯霉素</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生食水产品、肉制品、猪肠衣、蜂蜜</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color w:val="auto"/>
                <w:sz w:val="24"/>
                <w:szCs w:val="24"/>
              </w:rPr>
              <w:t>GB/T   22338-2008 动物源性食品中氯霉素类药物残留量测定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39</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喹诺酮类</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麻辣烫类食品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无，需要研制麻辣烫类食品中喹诺酮类抗生素的测定方法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40</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水玻璃</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面制品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41</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孔雀石绿</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鱼类</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GB20361-2006水产品中孔雀石绿和结晶紫残留量的测定，高效液相色谱荧光检测法（建议研制水产品中孔雀石绿和结晶紫残留量测定的液相色谱-串联质谱法）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42</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乌洛托品</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腐竹、米线等</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无，需要研制食品中六亚甲基四胺的测定方法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43</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五氯酚钠</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河蟹</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SC/T 3030-2006水产品中五氯苯酚及其钠盐残留量的测定　气相色谱法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44</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喹乙醇</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水产养殖饲料</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水产品中喹乙醇代谢物残留量的测定 高效液相色谱法（农业部1077号公告－5-2008）；水产品中喹乙醇残留量的测定 液相色谱法（SC/T 3019-2004）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45</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碱性黄</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大黄鱼</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46</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磺胺二甲嘧啶</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叉烧肉类</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GB20759-2006畜禽肉中十六种磺胺类药物残留量的测定 液相色谱-串联质谱法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37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sz w:val="24"/>
                <w:szCs w:val="24"/>
              </w:rPr>
            </w:pPr>
            <w:r>
              <w:rPr>
                <w:rFonts w:hint="eastAsia" w:ascii="宋体" w:hAnsi="宋体" w:eastAsia="宋体" w:cs="宋体"/>
                <w:sz w:val="24"/>
                <w:szCs w:val="24"/>
              </w:rPr>
              <w:t>47</w:t>
            </w:r>
          </w:p>
        </w:tc>
        <w:tc>
          <w:tcPr>
            <w:tcW w:w="53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敌百虫</w:t>
            </w:r>
          </w:p>
        </w:tc>
        <w:tc>
          <w:tcPr>
            <w:tcW w:w="939"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腌制食品</w:t>
            </w:r>
          </w:p>
        </w:tc>
        <w:tc>
          <w:tcPr>
            <w:tcW w:w="3150" w:type="pct"/>
            <w:tcBorders>
              <w:tl2br w:val="nil"/>
              <w:tr2bl w:val="nil"/>
            </w:tcBorders>
            <w:noWrap w:val="0"/>
            <w:tcMar>
              <w:top w:w="40" w:type="dxa"/>
              <w:left w:w="40" w:type="dxa"/>
              <w:bottom w:w="40" w:type="dxa"/>
              <w:right w:w="4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1" w:after="100" w:afterAutospacing="1" w:line="360" w:lineRule="auto"/>
              <w:ind w:left="0" w:right="0"/>
              <w:jc w:val="left"/>
              <w:rPr>
                <w:sz w:val="24"/>
                <w:szCs w:val="24"/>
              </w:rPr>
            </w:pPr>
            <w:r>
              <w:rPr>
                <w:rFonts w:hint="eastAsia" w:ascii="宋体" w:hAnsi="宋体" w:eastAsia="宋体" w:cs="宋体"/>
                <w:sz w:val="24"/>
                <w:szCs w:val="24"/>
              </w:rPr>
              <w:t>GB/T5009.20-2003食品中有机磷农药残留量的测定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p>
    <w:p>
      <w:pPr>
        <w:spacing w:line="360" w:lineRule="auto"/>
        <w:rPr>
          <w:rFonts w:hint="default" w:eastAsia="宋体"/>
          <w:lang w:val="en-US" w:eastAsia="zh-CN"/>
        </w:rPr>
      </w:pPr>
      <w:r>
        <w:rPr>
          <w:rFonts w:hint="eastAsia"/>
          <w:lang w:val="en-US" w:eastAsia="zh-CN"/>
        </w:rPr>
        <w:t>注：资料来源于网络</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B4232"/>
    <w:rsid w:val="012B4232"/>
    <w:rsid w:val="5FFB22EC"/>
    <w:rsid w:val="76CA5743"/>
    <w:rsid w:val="77D05A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2021-08-23T01:44:00Z</dcterms:created>
  <dc:creator>华为</dc:creator>
  <cp:lastModifiedBy>华为</cp:lastModifiedBy>
  <dcterms:modified xsi:type="dcterms:W3CDTF">2021-08-23T01:48:21Z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37E5765FE6FE40B29A78E00EC48222B0</vt:lpwstr>
  </property>
</Properties>
</file>