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420"/>
        <w:jc w:val="center"/>
        <w:rPr>
          <w:rFonts w:hint="eastAsia" w:ascii="宋体" w:hAnsi="宋体" w:eastAsia="宋体" w:cs="宋体"/>
          <w:i w:val="0"/>
          <w:iCs w:val="0"/>
          <w:caps w:val="0"/>
          <w:color w:val="5B5B5B"/>
          <w:spacing w:val="0"/>
          <w:sz w:val="16"/>
          <w:szCs w:val="16"/>
        </w:rPr>
      </w:pPr>
      <w:r>
        <w:rPr>
          <w:rFonts w:ascii="仿宋" w:hAnsi="仿宋" w:eastAsia="仿宋" w:cs="仿宋"/>
          <w:b/>
          <w:bCs/>
          <w:i w:val="0"/>
          <w:iCs w:val="0"/>
          <w:caps w:val="0"/>
          <w:color w:val="000000"/>
          <w:spacing w:val="0"/>
          <w:sz w:val="28"/>
          <w:szCs w:val="28"/>
          <w:bdr w:val="none" w:color="auto" w:sz="0" w:space="0"/>
          <w:shd w:val="clear" w:fill="FFFFFF"/>
        </w:rPr>
        <w:t>2007</w:t>
      </w:r>
      <w:r>
        <w:rPr>
          <w:rFonts w:hint="eastAsia" w:ascii="仿宋" w:hAnsi="仿宋" w:eastAsia="仿宋" w:cs="仿宋"/>
          <w:b/>
          <w:bCs/>
          <w:i w:val="0"/>
          <w:iCs w:val="0"/>
          <w:caps w:val="0"/>
          <w:color w:val="000000"/>
          <w:spacing w:val="0"/>
          <w:sz w:val="28"/>
          <w:szCs w:val="28"/>
          <w:bdr w:val="none" w:color="auto" w:sz="0" w:space="0"/>
          <w:shd w:val="clear" w:fill="FFFFFF"/>
        </w:rPr>
        <w:t>年第191号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420"/>
        <w:jc w:val="center"/>
        <w:rPr>
          <w:rFonts w:hint="eastAsia" w:ascii="宋体" w:hAnsi="宋体" w:eastAsia="宋体" w:cs="宋体"/>
          <w:i w:val="0"/>
          <w:iCs w:val="0"/>
          <w:caps w:val="0"/>
          <w:color w:val="5B5B5B"/>
          <w:spacing w:val="0"/>
          <w:sz w:val="16"/>
          <w:szCs w:val="16"/>
        </w:rPr>
      </w:pPr>
      <w:r>
        <w:rPr>
          <w:rFonts w:hint="eastAsia" w:ascii="仿宋" w:hAnsi="仿宋" w:eastAsia="仿宋" w:cs="仿宋"/>
          <w:i w:val="0"/>
          <w:iCs w:val="0"/>
          <w:caps w:val="0"/>
          <w:color w:val="000000"/>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420"/>
        <w:jc w:val="center"/>
        <w:rPr>
          <w:rFonts w:hint="eastAsia" w:ascii="宋体" w:hAnsi="宋体" w:eastAsia="宋体" w:cs="宋体"/>
          <w:i w:val="0"/>
          <w:iCs w:val="0"/>
          <w:caps w:val="0"/>
          <w:color w:val="5B5B5B"/>
          <w:spacing w:val="0"/>
          <w:sz w:val="16"/>
          <w:szCs w:val="16"/>
        </w:rPr>
      </w:pPr>
      <w:r>
        <w:rPr>
          <w:rFonts w:ascii="方正小标宋简体" w:hAnsi="方正小标宋简体" w:eastAsia="方正小标宋简体" w:cs="方正小标宋简体"/>
          <w:i w:val="0"/>
          <w:iCs w:val="0"/>
          <w:caps w:val="0"/>
          <w:color w:val="000000"/>
          <w:spacing w:val="0"/>
          <w:sz w:val="36"/>
          <w:szCs w:val="36"/>
          <w:bdr w:val="none" w:color="auto" w:sz="0" w:space="0"/>
          <w:shd w:val="clear" w:fill="FFFFFF"/>
        </w:rPr>
        <w:t>关于批准对湘西猕猴桃实施地理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420"/>
        <w:jc w:val="center"/>
        <w:rPr>
          <w:rFonts w:hint="eastAsia" w:ascii="宋体" w:hAnsi="宋体" w:eastAsia="宋体" w:cs="宋体"/>
          <w:i w:val="0"/>
          <w:iCs w:val="0"/>
          <w:caps w:val="0"/>
          <w:color w:val="5B5B5B"/>
          <w:spacing w:val="0"/>
          <w:sz w:val="16"/>
          <w:szCs w:val="16"/>
        </w:rPr>
      </w:pPr>
      <w:r>
        <w:rPr>
          <w:rFonts w:hint="default" w:ascii="方正小标宋简体" w:hAnsi="方正小标宋简体" w:eastAsia="方正小标宋简体" w:cs="方正小标宋简体"/>
          <w:i w:val="0"/>
          <w:iCs w:val="0"/>
          <w:caps w:val="0"/>
          <w:color w:val="000000"/>
          <w:spacing w:val="0"/>
          <w:sz w:val="36"/>
          <w:szCs w:val="36"/>
          <w:bdr w:val="none" w:color="auto" w:sz="0" w:space="0"/>
          <w:shd w:val="clear" w:fill="FFFFFF"/>
        </w:rPr>
        <w:t>标志产品保护的公告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656"/>
        <w:jc w:val="left"/>
        <w:rPr>
          <w:rFonts w:hint="eastAsia" w:ascii="宋体" w:hAnsi="宋体" w:eastAsia="宋体" w:cs="宋体"/>
          <w:i w:val="0"/>
          <w:iCs w:val="0"/>
          <w:caps w:val="0"/>
          <w:color w:val="5B5B5B"/>
          <w:spacing w:val="0"/>
          <w:sz w:val="16"/>
          <w:szCs w:val="16"/>
        </w:rPr>
      </w:pPr>
      <w:r>
        <w:rPr>
          <w:rFonts w:hint="eastAsia" w:ascii="仿宋" w:hAnsi="仿宋" w:eastAsia="仿宋" w:cs="仿宋"/>
          <w:i w:val="0"/>
          <w:iCs w:val="0"/>
          <w:caps w:val="0"/>
          <w:color w:val="000000"/>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656"/>
        <w:jc w:val="left"/>
        <w:rPr>
          <w:rFonts w:hint="eastAsia" w:ascii="宋体" w:hAnsi="宋体" w:eastAsia="宋体" w:cs="宋体"/>
          <w:i w:val="0"/>
          <w:iCs w:val="0"/>
          <w:caps w:val="0"/>
          <w:color w:val="5B5B5B"/>
          <w:spacing w:val="0"/>
          <w:sz w:val="16"/>
          <w:szCs w:val="16"/>
        </w:rPr>
      </w:pPr>
      <w:r>
        <w:rPr>
          <w:rFonts w:hint="eastAsia" w:ascii="仿宋" w:hAnsi="仿宋" w:eastAsia="仿宋" w:cs="仿宋"/>
          <w:i w:val="0"/>
          <w:iCs w:val="0"/>
          <w:caps w:val="0"/>
          <w:color w:val="000000"/>
          <w:spacing w:val="0"/>
          <w:sz w:val="28"/>
          <w:szCs w:val="28"/>
          <w:bdr w:val="none" w:color="auto" w:sz="0" w:space="0"/>
          <w:shd w:val="clear" w:fill="FFFFFF"/>
        </w:rPr>
        <w:t>根据《地理标志产品保护规定》，国家质检总局组织了对湘西猕猴桃地理标志产品保护申请的审查。经审查合格，现批准自即日起对湘西猕猴桃实施地理标志产品保护。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640"/>
        <w:jc w:val="left"/>
        <w:rPr>
          <w:rFonts w:hint="eastAsia" w:ascii="宋体" w:hAnsi="宋体" w:eastAsia="宋体" w:cs="宋体"/>
          <w:i w:val="0"/>
          <w:iCs w:val="0"/>
          <w:caps w:val="0"/>
          <w:color w:val="5B5B5B"/>
          <w:spacing w:val="0"/>
          <w:sz w:val="16"/>
          <w:szCs w:val="16"/>
        </w:rPr>
      </w:pPr>
      <w:r>
        <w:rPr>
          <w:rFonts w:hint="eastAsia" w:ascii="仿宋" w:hAnsi="仿宋" w:eastAsia="仿宋" w:cs="仿宋"/>
          <w:b/>
          <w:bCs/>
          <w:i w:val="0"/>
          <w:iCs w:val="0"/>
          <w:caps w:val="0"/>
          <w:color w:val="000000"/>
          <w:spacing w:val="0"/>
          <w:sz w:val="28"/>
          <w:szCs w:val="28"/>
          <w:bdr w:val="none" w:color="auto" w:sz="0" w:space="0"/>
          <w:shd w:val="clear" w:fill="FFFFFF"/>
        </w:rPr>
        <w:t>一、保护范围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656"/>
        <w:jc w:val="left"/>
        <w:rPr>
          <w:rFonts w:hint="eastAsia" w:ascii="宋体" w:hAnsi="宋体" w:eastAsia="宋体" w:cs="宋体"/>
          <w:i w:val="0"/>
          <w:iCs w:val="0"/>
          <w:caps w:val="0"/>
          <w:color w:val="5B5B5B"/>
          <w:spacing w:val="0"/>
          <w:sz w:val="16"/>
          <w:szCs w:val="16"/>
        </w:rPr>
      </w:pPr>
      <w:r>
        <w:rPr>
          <w:rFonts w:hint="eastAsia" w:ascii="仿宋" w:hAnsi="仿宋" w:eastAsia="仿宋" w:cs="仿宋"/>
          <w:i w:val="0"/>
          <w:iCs w:val="0"/>
          <w:caps w:val="0"/>
          <w:color w:val="000000"/>
          <w:spacing w:val="0"/>
          <w:sz w:val="28"/>
          <w:szCs w:val="28"/>
          <w:bdr w:val="none" w:color="auto" w:sz="0" w:space="0"/>
          <w:shd w:val="clear" w:fill="FFFFFF"/>
        </w:rPr>
        <w:t>湘西猕猴桃地理标志产品保护范围以湖南省湘西土家族苗族自治州人民政府《关于划定“湘西猕猴桃”地理标志产品地域保护范围的函》（州政函〔2007〕85号）提出的范围为准，为湖南省湘西自治州吉首市、凤凰市、永顺县、保靖县、花垣县、古丈县、龙山县、泸溪县等8个县市现辖行政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640"/>
        <w:jc w:val="left"/>
        <w:rPr>
          <w:rFonts w:hint="eastAsia" w:ascii="宋体" w:hAnsi="宋体" w:eastAsia="宋体" w:cs="宋体"/>
          <w:i w:val="0"/>
          <w:iCs w:val="0"/>
          <w:caps w:val="0"/>
          <w:color w:val="5B5B5B"/>
          <w:spacing w:val="0"/>
          <w:sz w:val="16"/>
          <w:szCs w:val="16"/>
        </w:rPr>
      </w:pPr>
      <w:r>
        <w:rPr>
          <w:rFonts w:hint="eastAsia" w:ascii="仿宋" w:hAnsi="仿宋" w:eastAsia="仿宋" w:cs="仿宋"/>
          <w:b/>
          <w:bCs/>
          <w:i w:val="0"/>
          <w:iCs w:val="0"/>
          <w:caps w:val="0"/>
          <w:color w:val="000000"/>
          <w:spacing w:val="0"/>
          <w:sz w:val="28"/>
          <w:szCs w:val="28"/>
          <w:bdr w:val="none" w:color="auto" w:sz="0" w:space="0"/>
          <w:shd w:val="clear" w:fill="FFFFFF"/>
        </w:rPr>
        <w:t>二、质量技术要求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643"/>
        <w:jc w:val="left"/>
        <w:rPr>
          <w:rFonts w:hint="eastAsia" w:ascii="宋体" w:hAnsi="宋体" w:eastAsia="宋体" w:cs="宋体"/>
          <w:i w:val="0"/>
          <w:iCs w:val="0"/>
          <w:caps w:val="0"/>
          <w:color w:val="5B5B5B"/>
          <w:spacing w:val="0"/>
          <w:sz w:val="16"/>
          <w:szCs w:val="16"/>
        </w:rPr>
      </w:pPr>
      <w:r>
        <w:rPr>
          <w:rFonts w:hint="eastAsia" w:ascii="仿宋" w:hAnsi="仿宋" w:eastAsia="仿宋" w:cs="仿宋"/>
          <w:i w:val="0"/>
          <w:iCs w:val="0"/>
          <w:caps w:val="0"/>
          <w:color w:val="000000"/>
          <w:spacing w:val="0"/>
          <w:sz w:val="28"/>
          <w:szCs w:val="28"/>
          <w:bdr w:val="none" w:color="auto" w:sz="0" w:space="0"/>
          <w:shd w:val="clear" w:fill="FFFFFF"/>
        </w:rPr>
        <w:t>（一）品种。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640"/>
        <w:jc w:val="left"/>
        <w:rPr>
          <w:rFonts w:hint="eastAsia" w:ascii="宋体" w:hAnsi="宋体" w:eastAsia="宋体" w:cs="宋体"/>
          <w:i w:val="0"/>
          <w:iCs w:val="0"/>
          <w:caps w:val="0"/>
          <w:color w:val="5B5B5B"/>
          <w:spacing w:val="0"/>
          <w:sz w:val="16"/>
          <w:szCs w:val="16"/>
        </w:rPr>
      </w:pPr>
      <w:r>
        <w:rPr>
          <w:rFonts w:hint="eastAsia" w:ascii="仿宋" w:hAnsi="仿宋" w:eastAsia="仿宋" w:cs="仿宋"/>
          <w:i w:val="0"/>
          <w:iCs w:val="0"/>
          <w:caps w:val="0"/>
          <w:color w:val="000000"/>
          <w:spacing w:val="0"/>
          <w:sz w:val="28"/>
          <w:szCs w:val="28"/>
          <w:bdr w:val="none" w:color="auto" w:sz="0" w:space="0"/>
          <w:shd w:val="clear" w:fill="FFFFFF"/>
        </w:rPr>
        <w:t>米良系列、红阳。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643"/>
        <w:jc w:val="left"/>
        <w:rPr>
          <w:rFonts w:hint="eastAsia" w:ascii="宋体" w:hAnsi="宋体" w:eastAsia="宋体" w:cs="宋体"/>
          <w:i w:val="0"/>
          <w:iCs w:val="0"/>
          <w:caps w:val="0"/>
          <w:color w:val="5B5B5B"/>
          <w:spacing w:val="0"/>
          <w:sz w:val="16"/>
          <w:szCs w:val="16"/>
        </w:rPr>
      </w:pPr>
      <w:r>
        <w:rPr>
          <w:rFonts w:hint="eastAsia" w:ascii="仿宋" w:hAnsi="仿宋" w:eastAsia="仿宋" w:cs="仿宋"/>
          <w:i w:val="0"/>
          <w:iCs w:val="0"/>
          <w:caps w:val="0"/>
          <w:color w:val="000000"/>
          <w:spacing w:val="0"/>
          <w:sz w:val="28"/>
          <w:szCs w:val="28"/>
          <w:bdr w:val="none" w:color="auto" w:sz="0" w:space="0"/>
          <w:shd w:val="clear" w:fill="FFFFFF"/>
        </w:rPr>
        <w:t>（二）立地条件。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640"/>
        <w:jc w:val="left"/>
        <w:rPr>
          <w:rFonts w:hint="eastAsia" w:ascii="宋体" w:hAnsi="宋体" w:eastAsia="宋体" w:cs="宋体"/>
          <w:i w:val="0"/>
          <w:iCs w:val="0"/>
          <w:caps w:val="0"/>
          <w:color w:val="5B5B5B"/>
          <w:spacing w:val="0"/>
          <w:sz w:val="16"/>
          <w:szCs w:val="16"/>
        </w:rPr>
      </w:pPr>
      <w:r>
        <w:rPr>
          <w:rFonts w:hint="eastAsia" w:ascii="仿宋" w:hAnsi="仿宋" w:eastAsia="仿宋" w:cs="仿宋"/>
          <w:i w:val="0"/>
          <w:iCs w:val="0"/>
          <w:caps w:val="0"/>
          <w:color w:val="000000"/>
          <w:spacing w:val="0"/>
          <w:sz w:val="28"/>
          <w:szCs w:val="28"/>
          <w:bdr w:val="none" w:color="auto" w:sz="0" w:space="0"/>
          <w:shd w:val="clear" w:fill="FFFFFF"/>
        </w:rPr>
        <w:t>土壤pH值6.0至6.8，砂质土壤，土层厚度≥80cm，有机质含量≥1.5%，地下水位80cm以下，土壤质地良好，疏松肥沃。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643"/>
        <w:jc w:val="left"/>
        <w:rPr>
          <w:rFonts w:hint="eastAsia" w:ascii="宋体" w:hAnsi="宋体" w:eastAsia="宋体" w:cs="宋体"/>
          <w:i w:val="0"/>
          <w:iCs w:val="0"/>
          <w:caps w:val="0"/>
          <w:color w:val="5B5B5B"/>
          <w:spacing w:val="0"/>
          <w:sz w:val="16"/>
          <w:szCs w:val="16"/>
        </w:rPr>
      </w:pPr>
      <w:r>
        <w:rPr>
          <w:rFonts w:hint="eastAsia" w:ascii="仿宋" w:hAnsi="仿宋" w:eastAsia="仿宋" w:cs="仿宋"/>
          <w:i w:val="0"/>
          <w:iCs w:val="0"/>
          <w:caps w:val="0"/>
          <w:color w:val="000000"/>
          <w:spacing w:val="0"/>
          <w:sz w:val="28"/>
          <w:szCs w:val="28"/>
          <w:bdr w:val="none" w:color="auto" w:sz="0" w:space="0"/>
          <w:shd w:val="clear" w:fill="FFFFFF"/>
        </w:rPr>
        <w:t>（三）栽培管理。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640"/>
        <w:jc w:val="left"/>
        <w:rPr>
          <w:rFonts w:hint="eastAsia" w:ascii="宋体" w:hAnsi="宋体" w:eastAsia="宋体" w:cs="宋体"/>
          <w:i w:val="0"/>
          <w:iCs w:val="0"/>
          <w:caps w:val="0"/>
          <w:color w:val="5B5B5B"/>
          <w:spacing w:val="0"/>
          <w:sz w:val="16"/>
          <w:szCs w:val="16"/>
        </w:rPr>
      </w:pPr>
      <w:r>
        <w:rPr>
          <w:rFonts w:hint="eastAsia" w:ascii="仿宋" w:hAnsi="仿宋" w:eastAsia="仿宋" w:cs="仿宋"/>
          <w:i w:val="0"/>
          <w:iCs w:val="0"/>
          <w:caps w:val="0"/>
          <w:color w:val="000000"/>
          <w:spacing w:val="0"/>
          <w:sz w:val="28"/>
          <w:szCs w:val="28"/>
          <w:bdr w:val="none" w:color="auto" w:sz="0" w:space="0"/>
          <w:shd w:val="clear" w:fill="FFFFFF"/>
        </w:rPr>
        <w:t>1. 种苗繁育：用同种类成熟猕猴桃果实的种子，繁殖的实生苗作为砧木，从纯正无检疫性病虫害的健壮结果母株上采集接穗，进行嫁接繁殖。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640"/>
        <w:jc w:val="left"/>
        <w:rPr>
          <w:rFonts w:hint="eastAsia" w:ascii="宋体" w:hAnsi="宋体" w:eastAsia="宋体" w:cs="宋体"/>
          <w:i w:val="0"/>
          <w:iCs w:val="0"/>
          <w:caps w:val="0"/>
          <w:color w:val="5B5B5B"/>
          <w:spacing w:val="0"/>
          <w:sz w:val="16"/>
          <w:szCs w:val="16"/>
        </w:rPr>
      </w:pPr>
      <w:r>
        <w:rPr>
          <w:rFonts w:hint="eastAsia" w:ascii="仿宋" w:hAnsi="仿宋" w:eastAsia="仿宋" w:cs="仿宋"/>
          <w:i w:val="0"/>
          <w:iCs w:val="0"/>
          <w:caps w:val="0"/>
          <w:color w:val="000000"/>
          <w:spacing w:val="0"/>
          <w:sz w:val="28"/>
          <w:szCs w:val="28"/>
          <w:bdr w:val="none" w:color="auto" w:sz="0" w:space="0"/>
          <w:shd w:val="clear" w:fill="FFFFFF"/>
        </w:rPr>
        <w:t>2. 栽植密度：米良系列每公顷栽植株数≤1080株，雌雄株之比≤8:1；红阳每公顷栽植株数≤1600株，雌雄株之比≤20:1。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640"/>
        <w:jc w:val="left"/>
        <w:rPr>
          <w:rFonts w:hint="eastAsia" w:ascii="宋体" w:hAnsi="宋体" w:eastAsia="宋体" w:cs="宋体"/>
          <w:i w:val="0"/>
          <w:iCs w:val="0"/>
          <w:caps w:val="0"/>
          <w:color w:val="5B5B5B"/>
          <w:spacing w:val="0"/>
          <w:sz w:val="16"/>
          <w:szCs w:val="16"/>
        </w:rPr>
      </w:pPr>
      <w:r>
        <w:rPr>
          <w:rFonts w:hint="eastAsia" w:ascii="仿宋" w:hAnsi="仿宋" w:eastAsia="仿宋" w:cs="仿宋"/>
          <w:i w:val="0"/>
          <w:iCs w:val="0"/>
          <w:caps w:val="0"/>
          <w:color w:val="000000"/>
          <w:spacing w:val="0"/>
          <w:sz w:val="28"/>
          <w:szCs w:val="28"/>
          <w:bdr w:val="none" w:color="auto" w:sz="0" w:space="0"/>
          <w:shd w:val="clear" w:fill="FFFFFF"/>
        </w:rPr>
        <w:t>3. 整形修剪：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640"/>
        <w:jc w:val="left"/>
        <w:rPr>
          <w:rFonts w:hint="eastAsia" w:ascii="宋体" w:hAnsi="宋体" w:eastAsia="宋体" w:cs="宋体"/>
          <w:i w:val="0"/>
          <w:iCs w:val="0"/>
          <w:caps w:val="0"/>
          <w:color w:val="5B5B5B"/>
          <w:spacing w:val="0"/>
          <w:sz w:val="16"/>
          <w:szCs w:val="16"/>
        </w:rPr>
      </w:pPr>
      <w:r>
        <w:rPr>
          <w:rFonts w:hint="eastAsia" w:ascii="仿宋" w:hAnsi="仿宋" w:eastAsia="仿宋" w:cs="仿宋"/>
          <w:i w:val="0"/>
          <w:iCs w:val="0"/>
          <w:caps w:val="0"/>
          <w:color w:val="000000"/>
          <w:spacing w:val="0"/>
          <w:sz w:val="28"/>
          <w:szCs w:val="28"/>
          <w:bdr w:val="none" w:color="auto" w:sz="0" w:space="0"/>
          <w:shd w:val="clear" w:fill="FFFFFF"/>
        </w:rPr>
        <w:t>（1）整形:采用T型架或大棚架，单主干上架，在主干接近20至30cm架面部位选留2个主蔓，分别向两边伸展。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640"/>
        <w:jc w:val="left"/>
        <w:rPr>
          <w:rFonts w:hint="eastAsia" w:ascii="宋体" w:hAnsi="宋体" w:eastAsia="宋体" w:cs="宋体"/>
          <w:i w:val="0"/>
          <w:iCs w:val="0"/>
          <w:caps w:val="0"/>
          <w:color w:val="5B5B5B"/>
          <w:spacing w:val="0"/>
          <w:sz w:val="16"/>
          <w:szCs w:val="16"/>
        </w:rPr>
      </w:pPr>
      <w:r>
        <w:rPr>
          <w:rFonts w:hint="eastAsia" w:ascii="仿宋" w:hAnsi="仿宋" w:eastAsia="仿宋" w:cs="仿宋"/>
          <w:i w:val="0"/>
          <w:iCs w:val="0"/>
          <w:caps w:val="0"/>
          <w:color w:val="000000"/>
          <w:spacing w:val="0"/>
          <w:sz w:val="28"/>
          <w:szCs w:val="28"/>
          <w:bdr w:val="none" w:color="auto" w:sz="0" w:space="0"/>
          <w:shd w:val="clear" w:fill="FFFFFF"/>
        </w:rPr>
        <w:t>（2）修剪:冬季修剪与夏季修剪相结合。冬季修剪每树选留结果母枝20至24个。夏季修剪主要进行抹芽、疏枝、绑蔓、摘心，叶果比（5-6）:1。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640"/>
        <w:jc w:val="left"/>
        <w:rPr>
          <w:rFonts w:hint="eastAsia" w:ascii="宋体" w:hAnsi="宋体" w:eastAsia="宋体" w:cs="宋体"/>
          <w:i w:val="0"/>
          <w:iCs w:val="0"/>
          <w:caps w:val="0"/>
          <w:color w:val="5B5B5B"/>
          <w:spacing w:val="0"/>
          <w:sz w:val="16"/>
          <w:szCs w:val="16"/>
        </w:rPr>
      </w:pPr>
      <w:r>
        <w:rPr>
          <w:rFonts w:hint="eastAsia" w:ascii="仿宋" w:hAnsi="仿宋" w:eastAsia="仿宋" w:cs="仿宋"/>
          <w:i w:val="0"/>
          <w:iCs w:val="0"/>
          <w:caps w:val="0"/>
          <w:color w:val="000000"/>
          <w:spacing w:val="0"/>
          <w:sz w:val="28"/>
          <w:szCs w:val="28"/>
          <w:bdr w:val="none" w:color="auto" w:sz="0" w:space="0"/>
          <w:shd w:val="clear" w:fill="FFFFFF"/>
        </w:rPr>
        <w:t>4. 施肥：以基肥为主，追肥为辅，每公顷每年施用有机肥≥37.5吨，肥料中氮、磷、钾比例为1:0.7-0.8:0.8-0.9。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640"/>
        <w:jc w:val="left"/>
        <w:rPr>
          <w:rFonts w:hint="eastAsia" w:ascii="宋体" w:hAnsi="宋体" w:eastAsia="宋体" w:cs="宋体"/>
          <w:i w:val="0"/>
          <w:iCs w:val="0"/>
          <w:caps w:val="0"/>
          <w:color w:val="5B5B5B"/>
          <w:spacing w:val="0"/>
          <w:sz w:val="16"/>
          <w:szCs w:val="16"/>
        </w:rPr>
      </w:pPr>
      <w:r>
        <w:rPr>
          <w:rFonts w:hint="eastAsia" w:ascii="仿宋" w:hAnsi="仿宋" w:eastAsia="仿宋" w:cs="仿宋"/>
          <w:i w:val="0"/>
          <w:iCs w:val="0"/>
          <w:caps w:val="0"/>
          <w:color w:val="000000"/>
          <w:spacing w:val="0"/>
          <w:sz w:val="28"/>
          <w:szCs w:val="28"/>
          <w:bdr w:val="none" w:color="auto" w:sz="0" w:space="0"/>
          <w:shd w:val="clear" w:fill="FFFFFF"/>
        </w:rPr>
        <w:t>5. 疏果：在盛花后10天开始疏果，疏去授粉受精不良的畸形果、扁平果、伤果、小果、病虫危害果等，保留果梗粗壮、发育良好的正常果。每公顷控制30吨产量。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643"/>
        <w:jc w:val="left"/>
        <w:rPr>
          <w:rFonts w:hint="eastAsia" w:ascii="宋体" w:hAnsi="宋体" w:eastAsia="宋体" w:cs="宋体"/>
          <w:i w:val="0"/>
          <w:iCs w:val="0"/>
          <w:caps w:val="0"/>
          <w:color w:val="5B5B5B"/>
          <w:spacing w:val="0"/>
          <w:sz w:val="16"/>
          <w:szCs w:val="16"/>
        </w:rPr>
      </w:pPr>
      <w:r>
        <w:rPr>
          <w:rFonts w:hint="eastAsia" w:ascii="仿宋" w:hAnsi="仿宋" w:eastAsia="仿宋" w:cs="仿宋"/>
          <w:i w:val="0"/>
          <w:iCs w:val="0"/>
          <w:caps w:val="0"/>
          <w:color w:val="000000"/>
          <w:spacing w:val="0"/>
          <w:sz w:val="28"/>
          <w:szCs w:val="28"/>
          <w:bdr w:val="none" w:color="auto" w:sz="0" w:space="0"/>
          <w:shd w:val="clear" w:fill="FFFFFF"/>
        </w:rPr>
        <w:t>（四）采收。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640"/>
        <w:jc w:val="left"/>
        <w:rPr>
          <w:rFonts w:hint="eastAsia" w:ascii="宋体" w:hAnsi="宋体" w:eastAsia="宋体" w:cs="宋体"/>
          <w:i w:val="0"/>
          <w:iCs w:val="0"/>
          <w:caps w:val="0"/>
          <w:color w:val="5B5B5B"/>
          <w:spacing w:val="0"/>
          <w:sz w:val="16"/>
          <w:szCs w:val="16"/>
        </w:rPr>
      </w:pPr>
      <w:r>
        <w:rPr>
          <w:rFonts w:hint="eastAsia" w:ascii="仿宋" w:hAnsi="仿宋" w:eastAsia="仿宋" w:cs="仿宋"/>
          <w:i w:val="0"/>
          <w:iCs w:val="0"/>
          <w:caps w:val="0"/>
          <w:color w:val="000000"/>
          <w:spacing w:val="0"/>
          <w:sz w:val="28"/>
          <w:szCs w:val="28"/>
          <w:bdr w:val="none" w:color="auto" w:sz="0" w:space="0"/>
          <w:shd w:val="clear" w:fill="FFFFFF"/>
        </w:rPr>
        <w:t>鲜食果可溶性固形物含量≥7.5%时采收；贮藏果可溶性固形物含量在6.2至6.5%时，方可采收。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643"/>
        <w:jc w:val="left"/>
        <w:rPr>
          <w:rFonts w:hint="eastAsia" w:ascii="宋体" w:hAnsi="宋体" w:eastAsia="宋体" w:cs="宋体"/>
          <w:i w:val="0"/>
          <w:iCs w:val="0"/>
          <w:caps w:val="0"/>
          <w:color w:val="5B5B5B"/>
          <w:spacing w:val="0"/>
          <w:sz w:val="16"/>
          <w:szCs w:val="16"/>
        </w:rPr>
      </w:pPr>
      <w:r>
        <w:rPr>
          <w:rFonts w:hint="eastAsia" w:ascii="仿宋" w:hAnsi="仿宋" w:eastAsia="仿宋" w:cs="仿宋"/>
          <w:i w:val="0"/>
          <w:iCs w:val="0"/>
          <w:caps w:val="0"/>
          <w:color w:val="000000"/>
          <w:spacing w:val="0"/>
          <w:sz w:val="28"/>
          <w:szCs w:val="28"/>
          <w:bdr w:val="none" w:color="auto" w:sz="0" w:space="0"/>
          <w:shd w:val="clear" w:fill="FFFFFF"/>
        </w:rPr>
        <w:t>（五）贮藏。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640"/>
        <w:jc w:val="left"/>
        <w:rPr>
          <w:rFonts w:hint="eastAsia" w:ascii="宋体" w:hAnsi="宋体" w:eastAsia="宋体" w:cs="宋体"/>
          <w:i w:val="0"/>
          <w:iCs w:val="0"/>
          <w:caps w:val="0"/>
          <w:color w:val="5B5B5B"/>
          <w:spacing w:val="0"/>
          <w:sz w:val="16"/>
          <w:szCs w:val="16"/>
        </w:rPr>
      </w:pPr>
      <w:r>
        <w:rPr>
          <w:rFonts w:hint="eastAsia" w:ascii="仿宋" w:hAnsi="仿宋" w:eastAsia="仿宋" w:cs="仿宋"/>
          <w:i w:val="0"/>
          <w:iCs w:val="0"/>
          <w:caps w:val="0"/>
          <w:color w:val="000000"/>
          <w:spacing w:val="0"/>
          <w:sz w:val="28"/>
          <w:szCs w:val="28"/>
          <w:bdr w:val="none" w:color="auto" w:sz="0" w:space="0"/>
          <w:shd w:val="clear" w:fill="FFFFFF"/>
        </w:rPr>
        <w:t>果实采收分检之后，置于专用贮果箱内，经24小时预冷之后，及时入库，使库内温度稳定在0℃至1℃，当库存果硬度（去皮）降至4至6kg/cm</w:t>
      </w:r>
      <w:r>
        <w:rPr>
          <w:rFonts w:hint="eastAsia" w:ascii="仿宋" w:hAnsi="仿宋" w:eastAsia="仿宋" w:cs="仿宋"/>
          <w:i w:val="0"/>
          <w:iCs w:val="0"/>
          <w:caps w:val="0"/>
          <w:color w:val="000000"/>
          <w:spacing w:val="0"/>
          <w:sz w:val="16"/>
          <w:szCs w:val="16"/>
          <w:bdr w:val="none" w:color="auto" w:sz="0" w:space="0"/>
          <w:shd w:val="clear" w:fill="FFFFFF"/>
          <w:vertAlign w:val="baseline"/>
        </w:rPr>
        <w:t>2</w:t>
      </w:r>
      <w:r>
        <w:rPr>
          <w:rFonts w:hint="eastAsia" w:ascii="仿宋" w:hAnsi="仿宋" w:eastAsia="仿宋" w:cs="仿宋"/>
          <w:i w:val="0"/>
          <w:iCs w:val="0"/>
          <w:caps w:val="0"/>
          <w:color w:val="000000"/>
          <w:spacing w:val="0"/>
          <w:sz w:val="28"/>
          <w:szCs w:val="28"/>
          <w:bdr w:val="none" w:color="auto" w:sz="0" w:space="0"/>
          <w:shd w:val="clear" w:fill="FFFFFF"/>
        </w:rPr>
        <w:t>时，应及时出库。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643"/>
        <w:jc w:val="left"/>
        <w:rPr>
          <w:rFonts w:hint="eastAsia" w:ascii="宋体" w:hAnsi="宋体" w:eastAsia="宋体" w:cs="宋体"/>
          <w:i w:val="0"/>
          <w:iCs w:val="0"/>
          <w:caps w:val="0"/>
          <w:color w:val="5B5B5B"/>
          <w:spacing w:val="0"/>
          <w:sz w:val="16"/>
          <w:szCs w:val="16"/>
        </w:rPr>
      </w:pPr>
      <w:r>
        <w:rPr>
          <w:rFonts w:hint="eastAsia" w:ascii="仿宋" w:hAnsi="仿宋" w:eastAsia="仿宋" w:cs="仿宋"/>
          <w:i w:val="0"/>
          <w:iCs w:val="0"/>
          <w:caps w:val="0"/>
          <w:color w:val="000000"/>
          <w:spacing w:val="0"/>
          <w:sz w:val="28"/>
          <w:szCs w:val="28"/>
          <w:bdr w:val="none" w:color="auto" w:sz="0" w:space="0"/>
          <w:shd w:val="clear" w:fill="FFFFFF"/>
        </w:rPr>
        <w:t>（六）质量特色。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640"/>
        <w:jc w:val="left"/>
        <w:rPr>
          <w:rFonts w:hint="eastAsia" w:ascii="宋体" w:hAnsi="宋体" w:eastAsia="宋体" w:cs="宋体"/>
          <w:i w:val="0"/>
          <w:iCs w:val="0"/>
          <w:caps w:val="0"/>
          <w:color w:val="5B5B5B"/>
          <w:spacing w:val="0"/>
          <w:sz w:val="16"/>
          <w:szCs w:val="16"/>
        </w:rPr>
      </w:pPr>
      <w:r>
        <w:rPr>
          <w:rFonts w:hint="eastAsia" w:ascii="仿宋" w:hAnsi="仿宋" w:eastAsia="仿宋" w:cs="仿宋"/>
          <w:i w:val="0"/>
          <w:iCs w:val="0"/>
          <w:caps w:val="0"/>
          <w:color w:val="000000"/>
          <w:spacing w:val="0"/>
          <w:sz w:val="28"/>
          <w:szCs w:val="28"/>
          <w:bdr w:val="none" w:color="auto" w:sz="0" w:space="0"/>
          <w:shd w:val="clear" w:fill="FFFFFF"/>
        </w:rPr>
        <w:t>1. 感官特色：如表1、表2所示。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420"/>
        <w:jc w:val="center"/>
        <w:rPr>
          <w:rFonts w:hint="eastAsia" w:ascii="宋体" w:hAnsi="宋体" w:eastAsia="宋体" w:cs="宋体"/>
          <w:i w:val="0"/>
          <w:iCs w:val="0"/>
          <w:caps w:val="0"/>
          <w:color w:val="5B5B5B"/>
          <w:spacing w:val="0"/>
          <w:sz w:val="16"/>
          <w:szCs w:val="16"/>
        </w:rPr>
      </w:pPr>
      <w:r>
        <w:rPr>
          <w:rFonts w:hint="eastAsia" w:ascii="仿宋" w:hAnsi="仿宋" w:eastAsia="仿宋" w:cs="仿宋"/>
          <w:i w:val="0"/>
          <w:iCs w:val="0"/>
          <w:caps w:val="0"/>
          <w:color w:val="000000"/>
          <w:spacing w:val="0"/>
          <w:sz w:val="28"/>
          <w:szCs w:val="28"/>
          <w:bdr w:val="none" w:color="auto" w:sz="0" w:space="0"/>
          <w:shd w:val="clear" w:fill="FFFFFF"/>
        </w:rPr>
        <w:t>表1 米良系列猕猴桃感官指标</w:t>
      </w:r>
    </w:p>
    <w:tbl>
      <w:tblPr>
        <w:tblW w:w="9600"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2095"/>
        <w:gridCol w:w="750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984"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项</w:t>
            </w:r>
            <w:r>
              <w:rPr>
                <w:rFonts w:hint="eastAsia" w:ascii="宋体" w:hAnsi="宋体" w:eastAsia="宋体" w:cs="宋体"/>
                <w:color w:val="000000"/>
                <w:sz w:val="28"/>
                <w:szCs w:val="28"/>
                <w:bdr w:val="none" w:color="auto" w:sz="0" w:space="0"/>
              </w:rPr>
              <w:t>  </w:t>
            </w:r>
            <w:r>
              <w:rPr>
                <w:rFonts w:hint="eastAsia" w:ascii="仿宋" w:hAnsi="仿宋" w:eastAsia="仿宋" w:cs="仿宋"/>
                <w:color w:val="5B5B5B"/>
                <w:sz w:val="28"/>
                <w:szCs w:val="28"/>
                <w:bdr w:val="none" w:color="auto" w:sz="0" w:space="0"/>
              </w:rPr>
              <w:t> </w:t>
            </w:r>
            <w:r>
              <w:rPr>
                <w:rFonts w:hint="eastAsia" w:ascii="仿宋" w:hAnsi="仿宋" w:eastAsia="仿宋" w:cs="仿宋"/>
                <w:color w:val="000000"/>
                <w:sz w:val="28"/>
                <w:szCs w:val="28"/>
                <w:bdr w:val="none" w:color="auto" w:sz="0" w:space="0"/>
              </w:rPr>
              <w:t>目</w:t>
            </w:r>
          </w:p>
        </w:tc>
        <w:tc>
          <w:tcPr>
            <w:tcW w:w="586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指</w:t>
            </w:r>
            <w:r>
              <w:rPr>
                <w:rFonts w:hint="eastAsia" w:ascii="宋体" w:hAnsi="宋体" w:eastAsia="宋体" w:cs="宋体"/>
                <w:color w:val="000000"/>
                <w:sz w:val="28"/>
                <w:szCs w:val="28"/>
                <w:bdr w:val="none" w:color="auto" w:sz="0" w:space="0"/>
              </w:rPr>
              <w:t>       </w:t>
            </w:r>
            <w:r>
              <w:rPr>
                <w:rFonts w:hint="eastAsia" w:ascii="仿宋" w:hAnsi="仿宋" w:eastAsia="仿宋" w:cs="仿宋"/>
                <w:color w:val="5B5B5B"/>
                <w:sz w:val="28"/>
                <w:szCs w:val="28"/>
                <w:bdr w:val="none" w:color="auto" w:sz="0" w:space="0"/>
              </w:rPr>
              <w:t> </w:t>
            </w:r>
            <w:r>
              <w:rPr>
                <w:rFonts w:hint="eastAsia" w:ascii="仿宋" w:hAnsi="仿宋" w:eastAsia="仿宋" w:cs="仿宋"/>
                <w:color w:val="000000"/>
                <w:sz w:val="28"/>
                <w:szCs w:val="28"/>
                <w:bdr w:val="none" w:color="auto" w:sz="0" w:space="0"/>
              </w:rPr>
              <w:t>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98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外形</w:t>
            </w:r>
          </w:p>
        </w:tc>
        <w:tc>
          <w:tcPr>
            <w:tcW w:w="586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left"/>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果实美观整齐，果形呈长圆柱形，果皮棕褐色，被长茸毛。</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98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果重</w:t>
            </w:r>
          </w:p>
        </w:tc>
        <w:tc>
          <w:tcPr>
            <w:tcW w:w="586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left"/>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80-120克。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98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果肉色泽</w:t>
            </w:r>
          </w:p>
        </w:tc>
        <w:tc>
          <w:tcPr>
            <w:tcW w:w="586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left"/>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果心淡黄色，果肉黄绿色。</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98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口感</w:t>
            </w:r>
          </w:p>
        </w:tc>
        <w:tc>
          <w:tcPr>
            <w:tcW w:w="586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left"/>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汁液多，具清香，酸甜适口，风味纯正，具米良系列猕猴桃独有特征。</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420"/>
        <w:jc w:val="center"/>
        <w:rPr>
          <w:rFonts w:hint="eastAsia" w:ascii="宋体" w:hAnsi="宋体" w:eastAsia="宋体" w:cs="宋体"/>
          <w:i w:val="0"/>
          <w:iCs w:val="0"/>
          <w:caps w:val="0"/>
          <w:color w:val="5B5B5B"/>
          <w:spacing w:val="0"/>
          <w:sz w:val="16"/>
          <w:szCs w:val="16"/>
        </w:rPr>
      </w:pPr>
      <w:r>
        <w:rPr>
          <w:rFonts w:hint="eastAsia" w:ascii="仿宋" w:hAnsi="仿宋" w:eastAsia="仿宋" w:cs="仿宋"/>
          <w:i w:val="0"/>
          <w:iCs w:val="0"/>
          <w:caps w:val="0"/>
          <w:color w:val="000000"/>
          <w:spacing w:val="0"/>
          <w:sz w:val="28"/>
          <w:szCs w:val="28"/>
          <w:bdr w:val="none" w:color="auto" w:sz="0" w:space="0"/>
          <w:shd w:val="clear" w:fill="FFFFFF"/>
        </w:rPr>
        <w:t>表2 红阳猕猴桃感官指标</w:t>
      </w:r>
    </w:p>
    <w:tbl>
      <w:tblPr>
        <w:tblW w:w="9600"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2179"/>
        <w:gridCol w:w="742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127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项</w:t>
            </w:r>
            <w:r>
              <w:rPr>
                <w:rFonts w:hint="eastAsia" w:ascii="宋体" w:hAnsi="宋体" w:eastAsia="宋体" w:cs="宋体"/>
                <w:color w:val="000000"/>
                <w:sz w:val="28"/>
                <w:szCs w:val="28"/>
                <w:bdr w:val="none" w:color="auto" w:sz="0" w:space="0"/>
              </w:rPr>
              <w:t>  </w:t>
            </w:r>
            <w:r>
              <w:rPr>
                <w:rFonts w:hint="eastAsia" w:ascii="仿宋" w:hAnsi="仿宋" w:eastAsia="仿宋" w:cs="仿宋"/>
                <w:color w:val="5B5B5B"/>
                <w:sz w:val="28"/>
                <w:szCs w:val="28"/>
                <w:bdr w:val="none" w:color="auto" w:sz="0" w:space="0"/>
              </w:rPr>
              <w:t> </w:t>
            </w:r>
            <w:r>
              <w:rPr>
                <w:rFonts w:hint="eastAsia" w:ascii="仿宋" w:hAnsi="仿宋" w:eastAsia="仿宋" w:cs="仿宋"/>
                <w:color w:val="000000"/>
                <w:sz w:val="28"/>
                <w:szCs w:val="28"/>
                <w:bdr w:val="none" w:color="auto" w:sz="0" w:space="0"/>
              </w:rPr>
              <w:t>目</w:t>
            </w:r>
          </w:p>
        </w:tc>
        <w:tc>
          <w:tcPr>
            <w:tcW w:w="55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指</w:t>
            </w:r>
            <w:r>
              <w:rPr>
                <w:rFonts w:hint="eastAsia" w:ascii="宋体" w:hAnsi="宋体" w:eastAsia="宋体" w:cs="宋体"/>
                <w:color w:val="000000"/>
                <w:sz w:val="28"/>
                <w:szCs w:val="28"/>
                <w:bdr w:val="none" w:color="auto" w:sz="0" w:space="0"/>
              </w:rPr>
              <w:t>       </w:t>
            </w:r>
            <w:r>
              <w:rPr>
                <w:rFonts w:hint="eastAsia" w:ascii="仿宋" w:hAnsi="仿宋" w:eastAsia="仿宋" w:cs="仿宋"/>
                <w:color w:val="5B5B5B"/>
                <w:sz w:val="28"/>
                <w:szCs w:val="28"/>
                <w:bdr w:val="none" w:color="auto" w:sz="0" w:space="0"/>
              </w:rPr>
              <w:t> </w:t>
            </w:r>
            <w:r>
              <w:rPr>
                <w:rFonts w:hint="eastAsia" w:ascii="仿宋" w:hAnsi="仿宋" w:eastAsia="仿宋" w:cs="仿宋"/>
                <w:color w:val="000000"/>
                <w:sz w:val="28"/>
                <w:szCs w:val="28"/>
                <w:bdr w:val="none" w:color="auto" w:sz="0" w:space="0"/>
              </w:rPr>
              <w:t>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127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外形</w:t>
            </w:r>
          </w:p>
        </w:tc>
        <w:tc>
          <w:tcPr>
            <w:tcW w:w="55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left"/>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果实美观整齐，果形呈短圆柱形，果皮褐绿色。</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127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果重</w:t>
            </w:r>
          </w:p>
        </w:tc>
        <w:tc>
          <w:tcPr>
            <w:tcW w:w="55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left"/>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50-100克。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127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果肉色泽</w:t>
            </w:r>
          </w:p>
        </w:tc>
        <w:tc>
          <w:tcPr>
            <w:tcW w:w="55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left"/>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果心鲜红色，果肉黄色。</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127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口感</w:t>
            </w:r>
          </w:p>
        </w:tc>
        <w:tc>
          <w:tcPr>
            <w:tcW w:w="55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left"/>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肉质红嫩，甜度适中，风味纯正，具红阳猕猴桃独有特征。</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640"/>
        <w:jc w:val="left"/>
        <w:rPr>
          <w:rFonts w:hint="eastAsia" w:ascii="宋体" w:hAnsi="宋体" w:eastAsia="宋体" w:cs="宋体"/>
          <w:i w:val="0"/>
          <w:iCs w:val="0"/>
          <w:caps w:val="0"/>
          <w:color w:val="5B5B5B"/>
          <w:spacing w:val="0"/>
          <w:sz w:val="16"/>
          <w:szCs w:val="16"/>
        </w:rPr>
      </w:pPr>
      <w:r>
        <w:rPr>
          <w:rFonts w:hint="eastAsia" w:ascii="仿宋" w:hAnsi="仿宋" w:eastAsia="仿宋" w:cs="仿宋"/>
          <w:i w:val="0"/>
          <w:iCs w:val="0"/>
          <w:caps w:val="0"/>
          <w:color w:val="000000"/>
          <w:spacing w:val="0"/>
          <w:sz w:val="28"/>
          <w:szCs w:val="28"/>
          <w:bdr w:val="none" w:color="auto" w:sz="0" w:space="0"/>
          <w:shd w:val="clear" w:fill="FFFFFF"/>
        </w:rPr>
        <w:t>2. 理化指标：如表3、表4所示。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420"/>
        <w:jc w:val="center"/>
        <w:rPr>
          <w:rFonts w:hint="eastAsia" w:ascii="宋体" w:hAnsi="宋体" w:eastAsia="宋体" w:cs="宋体"/>
          <w:i w:val="0"/>
          <w:iCs w:val="0"/>
          <w:caps w:val="0"/>
          <w:color w:val="5B5B5B"/>
          <w:spacing w:val="0"/>
          <w:sz w:val="16"/>
          <w:szCs w:val="16"/>
        </w:rPr>
      </w:pPr>
      <w:r>
        <w:rPr>
          <w:rFonts w:hint="eastAsia" w:ascii="仿宋" w:hAnsi="仿宋" w:eastAsia="仿宋" w:cs="仿宋"/>
          <w:i w:val="0"/>
          <w:iCs w:val="0"/>
          <w:caps w:val="0"/>
          <w:color w:val="000000"/>
          <w:spacing w:val="0"/>
          <w:sz w:val="28"/>
          <w:szCs w:val="28"/>
          <w:bdr w:val="none" w:color="auto" w:sz="0" w:space="0"/>
          <w:shd w:val="clear" w:fill="FFFFFF"/>
        </w:rPr>
        <w:t>表3 米良系列猕猴桃理化指标</w:t>
      </w:r>
    </w:p>
    <w:tbl>
      <w:tblPr>
        <w:tblW w:w="9600"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4800"/>
        <w:gridCol w:w="480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3408"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项</w:t>
            </w:r>
            <w:r>
              <w:rPr>
                <w:rFonts w:hint="eastAsia" w:ascii="宋体" w:hAnsi="宋体" w:eastAsia="宋体" w:cs="宋体"/>
                <w:color w:val="000000"/>
                <w:sz w:val="28"/>
                <w:szCs w:val="28"/>
                <w:bdr w:val="none" w:color="auto" w:sz="0" w:space="0"/>
              </w:rPr>
              <w:t>     </w:t>
            </w:r>
            <w:r>
              <w:rPr>
                <w:rFonts w:hint="eastAsia" w:ascii="仿宋" w:hAnsi="仿宋" w:eastAsia="仿宋" w:cs="仿宋"/>
                <w:color w:val="5B5B5B"/>
                <w:sz w:val="28"/>
                <w:szCs w:val="28"/>
                <w:bdr w:val="none" w:color="auto" w:sz="0" w:space="0"/>
              </w:rPr>
              <w:t> </w:t>
            </w:r>
            <w:r>
              <w:rPr>
                <w:rFonts w:hint="eastAsia" w:ascii="仿宋" w:hAnsi="仿宋" w:eastAsia="仿宋" w:cs="仿宋"/>
                <w:color w:val="000000"/>
                <w:sz w:val="28"/>
                <w:szCs w:val="28"/>
                <w:bdr w:val="none" w:color="auto" w:sz="0" w:space="0"/>
              </w:rPr>
              <w:t>目</w:t>
            </w:r>
          </w:p>
        </w:tc>
        <w:tc>
          <w:tcPr>
            <w:tcW w:w="340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指</w:t>
            </w:r>
            <w:r>
              <w:rPr>
                <w:rFonts w:hint="eastAsia" w:ascii="宋体" w:hAnsi="宋体" w:eastAsia="宋体" w:cs="宋体"/>
                <w:color w:val="000000"/>
                <w:sz w:val="28"/>
                <w:szCs w:val="28"/>
                <w:bdr w:val="none" w:color="auto" w:sz="0" w:space="0"/>
              </w:rPr>
              <w:t>     </w:t>
            </w:r>
            <w:r>
              <w:rPr>
                <w:rFonts w:hint="eastAsia" w:ascii="仿宋" w:hAnsi="仿宋" w:eastAsia="仿宋" w:cs="仿宋"/>
                <w:color w:val="5B5B5B"/>
                <w:sz w:val="28"/>
                <w:szCs w:val="28"/>
                <w:bdr w:val="none" w:color="auto" w:sz="0" w:space="0"/>
              </w:rPr>
              <w:t> </w:t>
            </w:r>
            <w:r>
              <w:rPr>
                <w:rFonts w:hint="eastAsia" w:ascii="仿宋" w:hAnsi="仿宋" w:eastAsia="仿宋" w:cs="仿宋"/>
                <w:color w:val="000000"/>
                <w:sz w:val="28"/>
                <w:szCs w:val="28"/>
                <w:bdr w:val="none" w:color="auto" w:sz="0" w:space="0"/>
              </w:rPr>
              <w:t>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340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120"/>
              <w:jc w:val="left"/>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可溶性固形物（%）</w:t>
            </w:r>
          </w:p>
        </w:tc>
        <w:tc>
          <w:tcPr>
            <w:tcW w:w="340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120"/>
              <w:jc w:val="center"/>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≥15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340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120"/>
              <w:jc w:val="left"/>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有机酸（%）</w:t>
            </w:r>
          </w:p>
        </w:tc>
        <w:tc>
          <w:tcPr>
            <w:tcW w:w="340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120"/>
              <w:jc w:val="center"/>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1.0-1.3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340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120"/>
              <w:jc w:val="left"/>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维生素C（mg/100g）</w:t>
            </w:r>
          </w:p>
        </w:tc>
        <w:tc>
          <w:tcPr>
            <w:tcW w:w="340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120"/>
              <w:jc w:val="center"/>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155-207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340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120"/>
              <w:jc w:val="left"/>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硒（ug/100g）</w:t>
            </w:r>
          </w:p>
        </w:tc>
        <w:tc>
          <w:tcPr>
            <w:tcW w:w="340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120"/>
              <w:jc w:val="center"/>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0.9-1.3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340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120"/>
              <w:jc w:val="left"/>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膳食纤维（g/100g）</w:t>
            </w:r>
          </w:p>
        </w:tc>
        <w:tc>
          <w:tcPr>
            <w:tcW w:w="340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120"/>
              <w:jc w:val="center"/>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≥2.5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420"/>
        <w:jc w:val="center"/>
        <w:rPr>
          <w:rFonts w:hint="eastAsia" w:ascii="宋体" w:hAnsi="宋体" w:eastAsia="宋体" w:cs="宋体"/>
          <w:i w:val="0"/>
          <w:iCs w:val="0"/>
          <w:caps w:val="0"/>
          <w:color w:val="5B5B5B"/>
          <w:spacing w:val="0"/>
          <w:sz w:val="16"/>
          <w:szCs w:val="16"/>
        </w:rPr>
      </w:pPr>
      <w:r>
        <w:rPr>
          <w:rFonts w:hint="eastAsia" w:ascii="仿宋" w:hAnsi="仿宋" w:eastAsia="仿宋" w:cs="仿宋"/>
          <w:i w:val="0"/>
          <w:iCs w:val="0"/>
          <w:caps w:val="0"/>
          <w:color w:val="000000"/>
          <w:spacing w:val="0"/>
          <w:sz w:val="28"/>
          <w:szCs w:val="28"/>
          <w:bdr w:val="none" w:color="auto" w:sz="0" w:space="0"/>
          <w:shd w:val="clear" w:fill="FFFFFF"/>
        </w:rPr>
        <w:t>表4 红阳猕猴桃理化指标</w:t>
      </w:r>
    </w:p>
    <w:tbl>
      <w:tblPr>
        <w:tblW w:w="9600"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4800"/>
        <w:gridCol w:w="480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3408"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项</w:t>
            </w:r>
            <w:r>
              <w:rPr>
                <w:rFonts w:hint="eastAsia" w:ascii="宋体" w:hAnsi="宋体" w:eastAsia="宋体" w:cs="宋体"/>
                <w:color w:val="000000"/>
                <w:sz w:val="28"/>
                <w:szCs w:val="28"/>
                <w:bdr w:val="none" w:color="auto" w:sz="0" w:space="0"/>
              </w:rPr>
              <w:t>     </w:t>
            </w:r>
            <w:r>
              <w:rPr>
                <w:rFonts w:hint="eastAsia" w:ascii="仿宋" w:hAnsi="仿宋" w:eastAsia="仿宋" w:cs="仿宋"/>
                <w:color w:val="5B5B5B"/>
                <w:sz w:val="28"/>
                <w:szCs w:val="28"/>
                <w:bdr w:val="none" w:color="auto" w:sz="0" w:space="0"/>
              </w:rPr>
              <w:t> </w:t>
            </w:r>
            <w:r>
              <w:rPr>
                <w:rFonts w:hint="eastAsia" w:ascii="仿宋" w:hAnsi="仿宋" w:eastAsia="仿宋" w:cs="仿宋"/>
                <w:color w:val="000000"/>
                <w:sz w:val="28"/>
                <w:szCs w:val="28"/>
                <w:bdr w:val="none" w:color="auto" w:sz="0" w:space="0"/>
              </w:rPr>
              <w:t>目</w:t>
            </w:r>
          </w:p>
        </w:tc>
        <w:tc>
          <w:tcPr>
            <w:tcW w:w="340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指</w:t>
            </w:r>
            <w:r>
              <w:rPr>
                <w:rFonts w:hint="eastAsia" w:ascii="宋体" w:hAnsi="宋体" w:eastAsia="宋体" w:cs="宋体"/>
                <w:color w:val="000000"/>
                <w:sz w:val="28"/>
                <w:szCs w:val="28"/>
                <w:bdr w:val="none" w:color="auto" w:sz="0" w:space="0"/>
              </w:rPr>
              <w:t>     </w:t>
            </w:r>
            <w:r>
              <w:rPr>
                <w:rFonts w:hint="eastAsia" w:ascii="仿宋" w:hAnsi="仿宋" w:eastAsia="仿宋" w:cs="仿宋"/>
                <w:color w:val="5B5B5B"/>
                <w:sz w:val="28"/>
                <w:szCs w:val="28"/>
                <w:bdr w:val="none" w:color="auto" w:sz="0" w:space="0"/>
              </w:rPr>
              <w:t> </w:t>
            </w:r>
            <w:r>
              <w:rPr>
                <w:rFonts w:hint="eastAsia" w:ascii="仿宋" w:hAnsi="仿宋" w:eastAsia="仿宋" w:cs="仿宋"/>
                <w:color w:val="000000"/>
                <w:sz w:val="28"/>
                <w:szCs w:val="28"/>
                <w:bdr w:val="none" w:color="auto" w:sz="0" w:space="0"/>
              </w:rPr>
              <w:t>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340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120"/>
              <w:jc w:val="left"/>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可溶性固形物（%）</w:t>
            </w:r>
          </w:p>
        </w:tc>
        <w:tc>
          <w:tcPr>
            <w:tcW w:w="340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120"/>
              <w:jc w:val="center"/>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≥15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rPr>
          <w:jc w:val="center"/>
        </w:trPr>
        <w:tc>
          <w:tcPr>
            <w:tcW w:w="340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120"/>
              <w:jc w:val="left"/>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有机酸（%）</w:t>
            </w:r>
          </w:p>
        </w:tc>
        <w:tc>
          <w:tcPr>
            <w:tcW w:w="340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120"/>
              <w:jc w:val="center"/>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0.45-0.65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340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120"/>
              <w:jc w:val="left"/>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维生素C（mg/100g）</w:t>
            </w:r>
          </w:p>
        </w:tc>
        <w:tc>
          <w:tcPr>
            <w:tcW w:w="340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120"/>
              <w:jc w:val="center"/>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110-155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340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120"/>
              <w:jc w:val="left"/>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硒（ug/100g）</w:t>
            </w:r>
          </w:p>
        </w:tc>
        <w:tc>
          <w:tcPr>
            <w:tcW w:w="340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120"/>
              <w:jc w:val="center"/>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0.9-1.3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340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120"/>
              <w:jc w:val="left"/>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膳食纤维（g/100g）</w:t>
            </w:r>
          </w:p>
        </w:tc>
        <w:tc>
          <w:tcPr>
            <w:tcW w:w="340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120"/>
              <w:jc w:val="center"/>
              <w:rPr>
                <w:rFonts w:hint="eastAsia" w:ascii="宋体" w:hAnsi="宋体" w:eastAsia="宋体" w:cs="宋体"/>
                <w:color w:val="5B5B5B"/>
                <w:sz w:val="16"/>
                <w:szCs w:val="16"/>
              </w:rPr>
            </w:pPr>
            <w:r>
              <w:rPr>
                <w:rFonts w:hint="eastAsia" w:ascii="仿宋" w:hAnsi="仿宋" w:eastAsia="仿宋" w:cs="仿宋"/>
                <w:color w:val="000000"/>
                <w:sz w:val="28"/>
                <w:szCs w:val="28"/>
                <w:bdr w:val="none" w:color="auto" w:sz="0" w:space="0"/>
              </w:rPr>
              <w:t>≥2.0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320"/>
        <w:jc w:val="center"/>
        <w:rPr>
          <w:rFonts w:hint="eastAsia" w:ascii="宋体" w:hAnsi="宋体" w:eastAsia="宋体" w:cs="宋体"/>
          <w:i w:val="0"/>
          <w:iCs w:val="0"/>
          <w:caps w:val="0"/>
          <w:color w:val="5B5B5B"/>
          <w:spacing w:val="0"/>
          <w:sz w:val="16"/>
          <w:szCs w:val="16"/>
        </w:rPr>
      </w:pPr>
      <w:r>
        <w:rPr>
          <w:rFonts w:hint="eastAsia" w:ascii="仿宋" w:hAnsi="仿宋" w:eastAsia="仿宋" w:cs="仿宋"/>
          <w:i w:val="0"/>
          <w:iCs w:val="0"/>
          <w:caps w:val="0"/>
          <w:color w:val="000000"/>
          <w:spacing w:val="0"/>
          <w:sz w:val="28"/>
          <w:szCs w:val="28"/>
          <w:bdr w:val="none" w:color="auto" w:sz="0" w:space="0"/>
          <w:shd w:val="clear" w:fill="FFFFFF"/>
        </w:rPr>
        <w:t>注:表1、表2、表3、表4中的项目为已达到软化后熟的果实。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640"/>
        <w:jc w:val="left"/>
        <w:rPr>
          <w:rFonts w:hint="eastAsia" w:ascii="宋体" w:hAnsi="宋体" w:eastAsia="宋体" w:cs="宋体"/>
          <w:i w:val="0"/>
          <w:iCs w:val="0"/>
          <w:caps w:val="0"/>
          <w:color w:val="5B5B5B"/>
          <w:spacing w:val="0"/>
          <w:sz w:val="16"/>
          <w:szCs w:val="16"/>
        </w:rPr>
      </w:pPr>
      <w:r>
        <w:rPr>
          <w:rFonts w:hint="eastAsia" w:ascii="仿宋" w:hAnsi="仿宋" w:eastAsia="仿宋" w:cs="仿宋"/>
          <w:b/>
          <w:bCs/>
          <w:i w:val="0"/>
          <w:iCs w:val="0"/>
          <w:caps w:val="0"/>
          <w:color w:val="000000"/>
          <w:spacing w:val="0"/>
          <w:sz w:val="28"/>
          <w:szCs w:val="28"/>
          <w:bdr w:val="none" w:color="auto" w:sz="0" w:space="0"/>
          <w:shd w:val="clear" w:fill="FFFFFF"/>
        </w:rPr>
        <w:t>三、专用标志使用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640"/>
        <w:jc w:val="left"/>
        <w:rPr>
          <w:rFonts w:hint="eastAsia" w:ascii="宋体" w:hAnsi="宋体" w:eastAsia="宋体" w:cs="宋体"/>
          <w:i w:val="0"/>
          <w:iCs w:val="0"/>
          <w:caps w:val="0"/>
          <w:color w:val="5B5B5B"/>
          <w:spacing w:val="0"/>
          <w:sz w:val="16"/>
          <w:szCs w:val="16"/>
        </w:rPr>
      </w:pPr>
      <w:r>
        <w:rPr>
          <w:rFonts w:hint="eastAsia" w:ascii="仿宋" w:hAnsi="仿宋" w:eastAsia="仿宋" w:cs="仿宋"/>
          <w:i w:val="0"/>
          <w:iCs w:val="0"/>
          <w:caps w:val="0"/>
          <w:color w:val="000000"/>
          <w:spacing w:val="0"/>
          <w:sz w:val="28"/>
          <w:szCs w:val="28"/>
          <w:bdr w:val="none" w:color="auto" w:sz="0" w:space="0"/>
          <w:shd w:val="clear" w:fill="FFFFFF"/>
        </w:rPr>
        <w:t>湘西猕猴桃地理标志产品保护范围内的生产者，可向湖南省湘西土家族苗族自治州质量技术监督局提出使用“地理标志产品专用标志”的申请，由国家质检总局公告批准。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640"/>
        <w:jc w:val="left"/>
        <w:rPr>
          <w:rFonts w:hint="eastAsia" w:ascii="宋体" w:hAnsi="宋体" w:eastAsia="宋体" w:cs="宋体"/>
          <w:i w:val="0"/>
          <w:iCs w:val="0"/>
          <w:caps w:val="0"/>
          <w:color w:val="5B5B5B"/>
          <w:spacing w:val="0"/>
          <w:sz w:val="16"/>
          <w:szCs w:val="16"/>
        </w:rPr>
      </w:pPr>
      <w:r>
        <w:rPr>
          <w:rFonts w:hint="eastAsia" w:ascii="仿宋" w:hAnsi="仿宋" w:eastAsia="仿宋" w:cs="仿宋"/>
          <w:i w:val="0"/>
          <w:iCs w:val="0"/>
          <w:caps w:val="0"/>
          <w:color w:val="000000"/>
          <w:spacing w:val="0"/>
          <w:sz w:val="28"/>
          <w:szCs w:val="28"/>
          <w:bdr w:val="none" w:color="auto" w:sz="0" w:space="0"/>
          <w:shd w:val="clear" w:fill="FFFFFF"/>
        </w:rPr>
        <w:t>自本公告发布之日起，各地质检部门开始对湘西猕猴桃实施地理标志产品保护措施。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640"/>
        <w:jc w:val="left"/>
        <w:rPr>
          <w:rFonts w:hint="eastAsia" w:ascii="宋体" w:hAnsi="宋体" w:eastAsia="宋体" w:cs="宋体"/>
          <w:i w:val="0"/>
          <w:iCs w:val="0"/>
          <w:caps w:val="0"/>
          <w:color w:val="5B5B5B"/>
          <w:spacing w:val="0"/>
          <w:sz w:val="16"/>
          <w:szCs w:val="16"/>
        </w:rPr>
      </w:pPr>
      <w:r>
        <w:rPr>
          <w:rFonts w:hint="eastAsia" w:ascii="仿宋" w:hAnsi="仿宋" w:eastAsia="仿宋" w:cs="仿宋"/>
          <w:i w:val="0"/>
          <w:iCs w:val="0"/>
          <w:caps w:val="0"/>
          <w:color w:val="000000"/>
          <w:spacing w:val="0"/>
          <w:sz w:val="28"/>
          <w:szCs w:val="28"/>
          <w:bdr w:val="none" w:color="auto" w:sz="0" w:space="0"/>
          <w:shd w:val="clear" w:fill="FFFFFF"/>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640"/>
        <w:jc w:val="center"/>
        <w:rPr>
          <w:rFonts w:hint="eastAsia" w:ascii="宋体" w:hAnsi="宋体" w:eastAsia="宋体" w:cs="宋体"/>
          <w:i w:val="0"/>
          <w:iCs w:val="0"/>
          <w:caps w:val="0"/>
          <w:color w:val="5B5B5B"/>
          <w:spacing w:val="0"/>
          <w:sz w:val="16"/>
          <w:szCs w:val="16"/>
        </w:rPr>
      </w:pPr>
      <w:r>
        <w:rPr>
          <w:rFonts w:hint="eastAsia" w:ascii="宋体" w:hAnsi="宋体" w:eastAsia="宋体" w:cs="宋体"/>
          <w:i w:val="0"/>
          <w:iCs w:val="0"/>
          <w:caps w:val="0"/>
          <w:color w:val="000000"/>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420"/>
        <w:jc w:val="center"/>
        <w:rPr>
          <w:rFonts w:hint="eastAsia" w:ascii="宋体" w:hAnsi="宋体" w:eastAsia="宋体" w:cs="宋体"/>
          <w:i w:val="0"/>
          <w:iCs w:val="0"/>
          <w:caps w:val="0"/>
          <w:color w:val="5B5B5B"/>
          <w:spacing w:val="0"/>
          <w:sz w:val="16"/>
          <w:szCs w:val="16"/>
        </w:rPr>
      </w:pPr>
      <w:r>
        <w:rPr>
          <w:rFonts w:hint="eastAsia" w:ascii="宋体" w:hAnsi="宋体" w:eastAsia="宋体" w:cs="宋体"/>
          <w:i w:val="0"/>
          <w:iCs w:val="0"/>
          <w:caps w:val="0"/>
          <w:color w:val="000000"/>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4195"/>
        <w:jc w:val="right"/>
        <w:rPr>
          <w:rFonts w:hint="eastAsia" w:ascii="宋体" w:hAnsi="宋体" w:eastAsia="宋体" w:cs="宋体"/>
          <w:i w:val="0"/>
          <w:iCs w:val="0"/>
          <w:caps w:val="0"/>
          <w:color w:val="5B5B5B"/>
          <w:spacing w:val="0"/>
          <w:sz w:val="16"/>
          <w:szCs w:val="16"/>
        </w:rPr>
      </w:pPr>
      <w:r>
        <w:rPr>
          <w:rFonts w:hint="eastAsia" w:ascii="仿宋" w:hAnsi="仿宋" w:eastAsia="仿宋" w:cs="仿宋"/>
          <w:i w:val="0"/>
          <w:iCs w:val="0"/>
          <w:caps w:val="0"/>
          <w:color w:val="000000"/>
          <w:spacing w:val="0"/>
          <w:sz w:val="28"/>
          <w:szCs w:val="28"/>
          <w:bdr w:val="none" w:color="auto" w:sz="0" w:space="0"/>
          <w:shd w:val="clear" w:fill="FFFFFF"/>
        </w:rPr>
        <w:t>二〇〇七年十二月十三日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8D7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2022-04-05T16:45:55Z</dcterms:created>
  <dc:creator>gu'yin'yu</dc:creator>
  <cp:lastModifiedBy>无视我</cp:lastModifiedBy>
  <dcterms:modified xsi:type="dcterms:W3CDTF">2022-04-05T16:45:57Z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C7E53D8906A64ECFBF1513D2906B250A</vt:lpwstr>
  </property>
</Properties>
</file>