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黑体" w:hAnsi="黑体" w:eastAsia="黑体" w:cs="黑体"/>
          <w:color w:val="000000"/>
        </w:rPr>
      </w:pPr>
      <w:r>
        <w:rPr>
          <w:rFonts w:hint="eastAsia" w:ascii="黑体" w:hAnsi="黑体" w:eastAsia="黑体" w:cs="黑体"/>
          <w:color w:val="000000"/>
        </w:rPr>
        <w:t>附件：</w:t>
      </w:r>
    </w:p>
    <w:p>
      <w:pPr>
        <w:spacing w:line="590" w:lineRule="exact"/>
        <w:jc w:val="center"/>
        <w:rPr>
          <w:rFonts w:ascii="黑体" w:hAnsi="黑体" w:eastAsia="黑体" w:cs="黑体"/>
          <w:color w:val="000000"/>
          <w:sz w:val="36"/>
          <w:szCs w:val="36"/>
        </w:rPr>
      </w:pPr>
      <w:r>
        <w:rPr>
          <w:rFonts w:hint="eastAsia" w:ascii="黑体" w:hAnsi="黑体" w:eastAsia="黑体" w:cs="黑体"/>
          <w:color w:val="000000"/>
          <w:sz w:val="36"/>
          <w:szCs w:val="36"/>
        </w:rPr>
        <w:t>河北省运动营养食品生产许可审查方案（试行）</w:t>
      </w:r>
    </w:p>
    <w:p>
      <w:pPr>
        <w:spacing w:line="590" w:lineRule="exact"/>
        <w:jc w:val="center"/>
        <w:rPr>
          <w:rFonts w:ascii="方正小标宋简体" w:hAnsi="仿宋" w:eastAsia="方正小标宋简体"/>
          <w:color w:val="000000"/>
          <w:sz w:val="36"/>
          <w:szCs w:val="36"/>
        </w:rPr>
      </w:pPr>
      <w:r>
        <w:rPr>
          <w:rFonts w:hint="eastAsia" w:ascii="黑体" w:hAnsi="黑体" w:eastAsia="黑体" w:cs="黑体"/>
          <w:color w:val="000000"/>
          <w:sz w:val="36"/>
          <w:szCs w:val="36"/>
        </w:rPr>
        <w:t>（征求意见稿）</w:t>
      </w:r>
    </w:p>
    <w:p>
      <w:pPr>
        <w:widowControl/>
        <w:shd w:val="clear" w:color="auto" w:fill="FFFFFF"/>
        <w:spacing w:line="670" w:lineRule="atLeast"/>
        <w:ind w:firstLine="480"/>
        <w:jc w:val="center"/>
        <w:rPr>
          <w:rFonts w:ascii="黑体" w:hAnsi="黑体" w:eastAsia="黑体" w:cs="宋体"/>
          <w:color w:val="333333"/>
          <w:kern w:val="0"/>
          <w:sz w:val="36"/>
          <w:szCs w:val="36"/>
        </w:rPr>
      </w:pPr>
      <w:r>
        <w:rPr>
          <w:rFonts w:hint="eastAsia" w:ascii="黑体" w:hAnsi="黑体" w:eastAsia="黑体" w:cs="宋体"/>
          <w:color w:val="333333"/>
          <w:kern w:val="0"/>
          <w:sz w:val="36"/>
          <w:szCs w:val="36"/>
        </w:rPr>
        <w:t>第一章 总则</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6"/>
          <w:szCs w:val="36"/>
        </w:rPr>
        <w:t>第一条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为规范运动营养食品生产许可活动，加强运动营养食品安全监管，根据《中华人民共和国食品安全法》及其实施条例、《食品生产许可管理办法》等法律法规规章和食品安全国家标准的规定，制定本审查方案。</w:t>
      </w:r>
    </w:p>
    <w:p>
      <w:pPr>
        <w:spacing w:line="590" w:lineRule="exact"/>
        <w:ind w:firstLine="704" w:firstLineChars="200"/>
        <w:rPr>
          <w:rFonts w:ascii="方正仿宋_GBK" w:hAnsi="微软雅黑" w:eastAsia="方正仿宋_GBK" w:cs="宋体"/>
          <w:color w:val="333333"/>
          <w:kern w:val="0"/>
          <w:sz w:val="35"/>
          <w:szCs w:val="35"/>
        </w:rPr>
      </w:pPr>
      <w:r>
        <w:rPr>
          <w:rFonts w:hint="eastAsia" w:ascii="黑体" w:hAnsi="黑体" w:eastAsia="黑体" w:cs="宋体"/>
          <w:color w:val="333333"/>
          <w:kern w:val="0"/>
          <w:sz w:val="36"/>
          <w:szCs w:val="36"/>
        </w:rPr>
        <w:t>第二条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本方案中所称运动营养食品是指为满足运动人群（指每周参加体育锻炼3次及以上、每次持续时间30min及以上、每次运动强度达到中等及以上的人群）的生理代谢状态、运动能力及对某些营养成分的特殊需求而专门加工的食品。</w:t>
      </w:r>
    </w:p>
    <w:p>
      <w:pPr>
        <w:pStyle w:val="8"/>
        <w:shd w:val="clear" w:color="auto" w:fill="FFFFFF"/>
        <w:spacing w:before="0" w:beforeAutospacing="0" w:after="0" w:afterAutospacing="0" w:line="600" w:lineRule="atLeast"/>
        <w:ind w:firstLine="645"/>
        <w:rPr>
          <w:rFonts w:ascii="方正仿宋_GBK" w:hAnsi="微软雅黑" w:eastAsia="方正仿宋_GBK"/>
          <w:color w:val="333333"/>
          <w:sz w:val="32"/>
          <w:szCs w:val="32"/>
        </w:rPr>
      </w:pPr>
      <w:r>
        <w:rPr>
          <w:rFonts w:hint="eastAsia" w:ascii="黑体" w:hAnsi="黑体" w:eastAsia="黑体"/>
          <w:color w:val="333333"/>
          <w:sz w:val="36"/>
          <w:szCs w:val="36"/>
        </w:rPr>
        <w:t>第三条</w:t>
      </w:r>
      <w:r>
        <w:rPr>
          <w:rFonts w:hint="eastAsia"/>
          <w:color w:val="333333"/>
          <w:sz w:val="35"/>
          <w:szCs w:val="35"/>
        </w:rPr>
        <w:t> </w:t>
      </w:r>
      <w:r>
        <w:rPr>
          <w:rFonts w:hint="eastAsia" w:ascii="方正仿宋_GBK" w:hAnsi="微软雅黑" w:eastAsia="方正仿宋_GBK"/>
          <w:color w:val="333333"/>
          <w:sz w:val="32"/>
          <w:szCs w:val="32"/>
        </w:rPr>
        <w:t>运动营养食品的申证类别为特殊膳食食品，运动营养食品生产许可类别为特殊膳食食品，类别编号为3003，类别名称为其他特殊膳食食品，品种明细为运动营养食品（补充能量类、控制能量类、补充蛋白质类、速度力量类、耐力类、运动后恢复类）。品种明细应当标明产品状态（固态（粉末、块/粒状）、半固态、液态）。</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产品执行标准为《食品安全国家标准 运动营养食品通则》（GB24154）及食品安全企业标准。</w:t>
      </w:r>
    </w:p>
    <w:p>
      <w:pPr>
        <w:pStyle w:val="8"/>
        <w:shd w:val="clear" w:color="auto" w:fill="FFFFFF"/>
        <w:spacing w:before="0" w:beforeAutospacing="0" w:after="0" w:afterAutospacing="0" w:line="600" w:lineRule="atLeast"/>
        <w:ind w:firstLine="645"/>
        <w:rPr>
          <w:rFonts w:ascii="方正仿宋_GBK" w:hAnsi="微软雅黑" w:eastAsia="方正仿宋_GBK"/>
          <w:color w:val="333333"/>
          <w:sz w:val="35"/>
          <w:szCs w:val="35"/>
        </w:rPr>
      </w:pPr>
      <w:r>
        <w:rPr>
          <w:rFonts w:hint="eastAsia" w:ascii="黑体" w:hAnsi="黑体" w:eastAsia="黑体"/>
          <w:color w:val="333333"/>
          <w:sz w:val="36"/>
          <w:szCs w:val="36"/>
        </w:rPr>
        <w:t>第四条</w:t>
      </w:r>
      <w:r>
        <w:rPr>
          <w:rFonts w:hint="eastAsia"/>
          <w:color w:val="333333"/>
          <w:sz w:val="35"/>
          <w:szCs w:val="35"/>
        </w:rPr>
        <w:t> </w:t>
      </w:r>
      <w:r>
        <w:rPr>
          <w:rFonts w:hint="eastAsia" w:ascii="方正仿宋_GBK" w:hAnsi="微软雅黑" w:eastAsia="方正仿宋_GBK"/>
          <w:color w:val="333333"/>
          <w:sz w:val="32"/>
          <w:szCs w:val="32"/>
        </w:rPr>
        <w:t>本方案应当与《食品生产许可审查通则》结合使用，仅适用于河北省运动营养食品生产许可审查工作。</w:t>
      </w:r>
    </w:p>
    <w:p>
      <w:pPr>
        <w:spacing w:line="590" w:lineRule="exact"/>
        <w:ind w:firstLine="704" w:firstLineChars="200"/>
        <w:rPr>
          <w:rFonts w:ascii="方正仿宋_GBK" w:hAnsi="微软雅黑" w:eastAsia="方正仿宋_GBK" w:cs="宋体"/>
          <w:color w:val="333333"/>
          <w:kern w:val="0"/>
          <w:sz w:val="35"/>
          <w:szCs w:val="35"/>
        </w:rPr>
      </w:pPr>
      <w:r>
        <w:rPr>
          <w:rFonts w:hint="eastAsia" w:ascii="黑体" w:hAnsi="黑体" w:eastAsia="黑体" w:cs="宋体"/>
          <w:color w:val="333333"/>
          <w:kern w:val="0"/>
          <w:sz w:val="36"/>
          <w:szCs w:val="36"/>
        </w:rPr>
        <w:t>第五条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本方案中引用的文件、标准通过引用成为本方案的内容。凡是引用文件、标准，其最新版本（包括所有的修改单）适用于本方案。</w:t>
      </w:r>
    </w:p>
    <w:p>
      <w:pPr>
        <w:spacing w:line="590" w:lineRule="exact"/>
        <w:ind w:firstLine="684" w:firstLineChars="200"/>
        <w:rPr>
          <w:rFonts w:ascii="方正仿宋_GBK" w:hAnsi="微软雅黑" w:eastAsia="方正仿宋_GBK" w:cs="宋体"/>
          <w:color w:val="333333"/>
          <w:kern w:val="0"/>
          <w:sz w:val="35"/>
          <w:szCs w:val="35"/>
        </w:rPr>
      </w:pPr>
    </w:p>
    <w:p>
      <w:pPr>
        <w:pStyle w:val="2"/>
        <w:keepNext w:val="0"/>
        <w:keepLines w:val="0"/>
        <w:spacing w:before="0" w:after="0" w:line="520" w:lineRule="exact"/>
        <w:jc w:val="center"/>
        <w:rPr>
          <w:rFonts w:ascii="黑体" w:hAnsi="黑体" w:cs="宋体"/>
          <w:b w:val="0"/>
          <w:bCs w:val="0"/>
          <w:color w:val="333333"/>
          <w:kern w:val="0"/>
          <w:sz w:val="36"/>
          <w:szCs w:val="36"/>
        </w:rPr>
      </w:pPr>
      <w:r>
        <w:rPr>
          <w:rFonts w:hint="eastAsia" w:ascii="黑体" w:hAnsi="黑体" w:cs="宋体"/>
          <w:b w:val="0"/>
          <w:bCs w:val="0"/>
          <w:color w:val="333333"/>
          <w:kern w:val="0"/>
          <w:sz w:val="36"/>
          <w:szCs w:val="36"/>
        </w:rPr>
        <w:t>第二章  运动营养食品生产许可审查要求</w:t>
      </w:r>
    </w:p>
    <w:p>
      <w:pPr>
        <w:pStyle w:val="4"/>
        <w:tabs>
          <w:tab w:val="left" w:pos="0"/>
        </w:tabs>
        <w:spacing w:line="520" w:lineRule="exact"/>
        <w:jc w:val="center"/>
        <w:rPr>
          <w:rFonts w:ascii="黑体" w:hAnsi="黑体" w:eastAsia="黑体" w:cs="宋体"/>
          <w:color w:val="333333"/>
          <w:kern w:val="0"/>
          <w:sz w:val="36"/>
          <w:szCs w:val="36"/>
        </w:rPr>
      </w:pPr>
      <w:r>
        <w:rPr>
          <w:rFonts w:hint="eastAsia" w:ascii="黑体" w:hAnsi="黑体" w:eastAsia="黑体" w:cs="宋体"/>
          <w:color w:val="333333"/>
          <w:kern w:val="0"/>
          <w:sz w:val="36"/>
          <w:szCs w:val="36"/>
        </w:rPr>
        <w:t xml:space="preserve">第一节 </w:t>
      </w:r>
      <w:bookmarkStart w:id="0" w:name="OLE_LINK20"/>
      <w:bookmarkStart w:id="1" w:name="OLE_LINK19"/>
      <w:r>
        <w:rPr>
          <w:rFonts w:hint="eastAsia" w:ascii="黑体" w:hAnsi="黑体" w:eastAsia="黑体" w:cs="宋体"/>
          <w:color w:val="333333"/>
          <w:kern w:val="0"/>
          <w:sz w:val="36"/>
          <w:szCs w:val="36"/>
        </w:rPr>
        <w:t xml:space="preserve"> 生产场所核查</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6"/>
          <w:szCs w:val="36"/>
        </w:rPr>
        <w:t>第六条 </w:t>
      </w:r>
      <w:r>
        <w:rPr>
          <w:rFonts w:hint="eastAsia" w:ascii="方正仿宋_GBK" w:hAnsi="微软雅黑" w:eastAsia="方正仿宋_GBK" w:cs="宋体"/>
          <w:color w:val="333333"/>
          <w:kern w:val="0"/>
        </w:rPr>
        <w:t>厂房选址和设计、内部建筑结构、辅助生产设施应当符合《食品安全国家标准 食品生产通用卫生规范》（GB 14881）的相关规定。</w:t>
      </w:r>
    </w:p>
    <w:p>
      <w:pPr>
        <w:spacing w:line="590" w:lineRule="exact"/>
        <w:ind w:firstLine="704" w:firstLineChars="200"/>
        <w:rPr>
          <w:rFonts w:ascii="仿宋" w:hAnsi="仿宋"/>
        </w:rPr>
      </w:pPr>
      <w:r>
        <w:rPr>
          <w:rFonts w:hint="eastAsia" w:ascii="黑体" w:hAnsi="黑体" w:eastAsia="黑体" w:cs="宋体"/>
          <w:color w:val="333333"/>
          <w:kern w:val="0"/>
          <w:sz w:val="36"/>
          <w:szCs w:val="36"/>
        </w:rPr>
        <w:t>第七条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运动营养食品生产企业应当具备与生产能力相适应的生产场所，生产场所应当根据工艺特性和流程设有相应的供排水设施、清洁消毒设施、个人卫生设施、照明设施、仓储设施等。生产场所与设备设施应当根据工艺合理布局，并便于卫生管理和清洗、消毒。</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6"/>
          <w:szCs w:val="36"/>
        </w:rPr>
        <w:t>第八条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生产车间应当按洁净度要求划分为清洁作业区、准清洁作业区和一般作业区，运动营养食品生产车间作业区具体划分见附件1。</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清洁作业区应当对空气进行过滤和净化处理，定期对清洁作业区进行空气质量检测，并对检测能力进行验证。在工艺设备安装完毕、生产车间重大改造后或停产3个月以上应当对清洁作业区的空气洁净度进行检测，符合要求后方可投入生产。清洁作业区空气洁净度要求和监测频次要求详见附件2。</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6"/>
          <w:szCs w:val="36"/>
        </w:rPr>
        <w:t>第九条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生产场所或生产车间入口处应当设置更衣室，并设洗手、干手和消毒设施、换鞋（穿戴鞋套）消毒设施。清洁作业区入口应当设置二次更衣区和洗手、干手和消毒设施、换鞋（穿戴鞋套）消毒设施。</w:t>
      </w:r>
    </w:p>
    <w:p>
      <w:pPr>
        <w:widowControl/>
        <w:shd w:val="clear" w:color="auto" w:fill="FFFFFF"/>
        <w:spacing w:line="670" w:lineRule="atLeast"/>
        <w:ind w:firstLine="480"/>
        <w:jc w:val="center"/>
        <w:rPr>
          <w:rFonts w:ascii="黑体" w:hAnsi="黑体" w:eastAsia="黑体" w:cs="宋体"/>
          <w:color w:val="333333"/>
          <w:kern w:val="0"/>
          <w:sz w:val="36"/>
          <w:szCs w:val="36"/>
        </w:rPr>
      </w:pP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黑体" w:hAnsi="黑体" w:eastAsia="黑体" w:cs="宋体"/>
          <w:color w:val="333333"/>
          <w:kern w:val="0"/>
          <w:sz w:val="36"/>
          <w:szCs w:val="36"/>
        </w:rPr>
        <w:t>第二节 设备设施核查</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6"/>
          <w:szCs w:val="36"/>
        </w:rPr>
        <w:t>第十条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生产设备和设施应当根据实际工艺需要配备。</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固态（粉末）运动营养食品生产设备一般包括：原料处理设施、混合配料设备、焙干设备、干燥脱水设备、自动包装设备、金属检测设备、自动喷码设备等。</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固态（块/粒状）运动营养食品生产设备一般包括：原料前处理设备、配料投料设备、熬煮设备、成型设备、焙烤设备、自动包装设备、金属检测设备、自动喷码设备等。</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液态和半固态运动营养食品生产设备一般包括：水处理设备、配料投料设施、溶胶/煮料设备、混合调配设备、过滤澄清设备、均质设备、杀菌设备、生产设备清洗消毒设施、自动灌装封盖（口）设备、自动喷码设备等。应当根据包装容器特点配备包装瓶、盖等的清洁消毒设施。</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具体产品按企业实际工艺流程生产，但其工艺流程必须科学合理、符合相关规定。</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6"/>
          <w:szCs w:val="36"/>
        </w:rPr>
        <w:t>第十一条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与原料、半成品、成品直接接触的设备与用具，应当使用无毒、无味、抗腐蚀、不易脱落的材料制作，并应易于清洁和保养。</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6"/>
          <w:szCs w:val="36"/>
        </w:rPr>
        <w:t>第十二条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应当根据生产需要合理设计排水设施和废水处理设施，排水流向应当由清洁程度要求高的区域流向清洁程度要求低的区域，清洁作业区排水系统入口应当安装带水封的地漏，以防止固体废弃物进入及浊气逸出，并有防止废水逆流的设计。</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6"/>
          <w:szCs w:val="36"/>
        </w:rPr>
        <w:t>第十三条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设置专门的废弃物存放设施，生产加工过程产生的废弃物应当妥善处理，并定期对废弃物处理设施的卫生状况进行检查。</w:t>
      </w:r>
    </w:p>
    <w:p>
      <w:pPr>
        <w:widowControl/>
        <w:shd w:val="clear" w:color="auto" w:fill="FFFFFF"/>
        <w:spacing w:line="670" w:lineRule="atLeast"/>
        <w:ind w:firstLine="720"/>
        <w:jc w:val="left"/>
        <w:rPr>
          <w:rFonts w:ascii="方正仿宋_GBK" w:hAnsi="微软雅黑" w:eastAsia="方正仿宋_GBK" w:cs="宋体"/>
          <w:color w:val="333333"/>
          <w:kern w:val="0"/>
          <w:sz w:val="35"/>
          <w:szCs w:val="35"/>
        </w:rPr>
      </w:pPr>
      <w:r>
        <w:rPr>
          <w:rFonts w:hint="eastAsia" w:ascii="黑体" w:hAnsi="黑体" w:eastAsia="黑体" w:cs="宋体"/>
          <w:color w:val="333333"/>
          <w:kern w:val="0"/>
          <w:sz w:val="36"/>
          <w:szCs w:val="36"/>
        </w:rPr>
        <w:t>第十四条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出厂检验设备应当符合《食品安全国家标准 运动营养食品通则》（GB 24154）的检测要求。</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宋体" w:hAnsi="宋体" w:eastAsia="宋体" w:cs="宋体"/>
          <w:b/>
          <w:bCs/>
          <w:color w:val="333333"/>
          <w:kern w:val="0"/>
          <w:sz w:val="35"/>
        </w:rPr>
        <w:t> </w:t>
      </w:r>
    </w:p>
    <w:p>
      <w:pPr>
        <w:widowControl/>
        <w:shd w:val="clear" w:color="auto" w:fill="FFFFFF"/>
        <w:spacing w:line="670" w:lineRule="atLeast"/>
        <w:ind w:firstLine="720"/>
        <w:jc w:val="center"/>
        <w:rPr>
          <w:rFonts w:ascii="黑体" w:hAnsi="黑体" w:eastAsia="黑体" w:cs="宋体"/>
          <w:color w:val="333333"/>
          <w:kern w:val="0"/>
          <w:sz w:val="36"/>
          <w:szCs w:val="36"/>
        </w:rPr>
      </w:pPr>
      <w:r>
        <w:rPr>
          <w:rFonts w:hint="eastAsia" w:ascii="黑体" w:hAnsi="黑体" w:eastAsia="黑体" w:cs="宋体"/>
          <w:color w:val="333333"/>
          <w:kern w:val="0"/>
          <w:sz w:val="36"/>
          <w:szCs w:val="36"/>
        </w:rPr>
        <w:t>第三节 设备布局和工艺流程</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6"/>
          <w:szCs w:val="36"/>
        </w:rPr>
        <w:t>第十五条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生产设备的布局应当与产品工艺流程相符，避免交叉污染。</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6"/>
          <w:szCs w:val="36"/>
        </w:rPr>
        <w:t>第十六条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固态粉类运动营养食品包括湿法工艺和干法工艺。</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湿法工艺流程一般包括：原料验收、配料和调配、杀菌（浓缩）、脱水干燥、冷却、成型、包装。干法工艺一般包括：原料验收、备料、混料、包装。</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固态块状、粒状运动营养食品生产工艺流程一般包括：原辅料验收、前处理、配料、混料、熟制、成型、干燥、冷却、包装。</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液态和半固态运动营养食品生产工艺流程一般包括：原料预处理、配料、调配（或不调配）、溶胶/煮料、均质（或不均质）、杀菌、过滤澄清、灌装封盖（口）、后杀菌或不杀菌、灯检（或自动监测）等。</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5"/>
          <w:szCs w:val="35"/>
        </w:rPr>
        <w:t>第十七条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应当通过危害分析方法明确生产过程中的食品安全关键环节，进行有效监控并记录各项控制指标。</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配料调配工序控制。应当监控并记录投料种类、数量以及投料顺序；原辅料投入输送系统应当有适宜过滤除杂措施；根据生产工艺要求，进行搅拌、加热、保温等操作的，应当监控和记录相关工艺参数。</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杀菌工序控制。应当严格监控影响杀菌效果的工艺参数（如杀菌温度、时间等）并记录，对杀菌效果进行监控并记录。</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成型包装控制。应当通过筛网、磁栅或X射线检测器等进行异物控制，并配备剔除设备，保证包装后的产品不含金属和其他异物。</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灌装封盖（口）工序控制。应当控制灌装温度及灌装量；封盖（口）应当确保产品密封。灌装封盖（口）后应当对产品的外观、灌装量、容器状况进行检查。</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水处理工序控制。应当规定水处理过滤装置的清洗更换要求，制定水处理工艺监测指标并记录。</w:t>
      </w: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宋体" w:hAnsi="宋体" w:eastAsia="宋体" w:cs="宋体"/>
          <w:b/>
          <w:bCs/>
          <w:color w:val="333333"/>
          <w:kern w:val="0"/>
          <w:sz w:val="35"/>
        </w:rPr>
        <w:t> </w:t>
      </w: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第四节 人员核查</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第十八条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食品安全管理人员、食品安全专业技术人员、检验人员、生产人员必须取得健康合格证明后方可上岗工作，每年至少进行一次健康检查。</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第十九条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企业应当每年制定员工培训计划，按照计划开展培训，并有相关的培训及考核记录。食品安全管理人员上岗前应当经过培训，并考核合格。</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5"/>
          <w:szCs w:val="35"/>
        </w:rPr>
        <w:t>第二十条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应当具备具有相关专业和经验的研发人员、检验人员、生产管理人员与技术人员。企业质量负责人和食品安全管理人员，应当有食品或相关专业本科以上学历，并具有3年以上食品工作经历。生产管理人员、技术人员应当有食品或相关专业专科以上学历，并具有3年以上相关工作经历。研发人员应当有食品、营养或相关专业本科以上学历，掌握食品工艺、营养和质量安全等相关专业知识。从事产品检测的人员应当具有食品、化学或相关专业专科以上的学历，或者具有5年以上食品检测工作经历，经过专业培训，考核合格。</w:t>
      </w: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宋体" w:hAnsi="宋体" w:eastAsia="宋体" w:cs="宋体"/>
          <w:b/>
          <w:bCs/>
          <w:color w:val="333333"/>
          <w:kern w:val="0"/>
          <w:sz w:val="35"/>
        </w:rPr>
        <w:t> </w:t>
      </w: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第五节 管理制度审查</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第二十一条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sz w:val="35"/>
          <w:szCs w:val="35"/>
        </w:rPr>
        <w:t>应当建立进货查验记录制度。所用原料不得使用世界反兴奋剂机构禁用物质；使用既是食品又是药品的物品、</w:t>
      </w:r>
      <w:r>
        <w:fldChar w:fldCharType="begin"/>
      </w:r>
      <w:r>
        <w:instrText xml:space="preserve"> HYPERLINK "http://law.foodmate.net/show-178780.html" \t "_blank" </w:instrText>
      </w:r>
      <w:r>
        <w:fldChar w:fldCharType="separate"/>
      </w:r>
      <w:r>
        <w:rPr>
          <w:rFonts w:hint="eastAsia" w:ascii="方正仿宋_GBK" w:hAnsi="微软雅黑" w:eastAsia="方正仿宋_GBK" w:cs="宋体"/>
          <w:color w:val="333333"/>
          <w:kern w:val="0"/>
          <w:sz w:val="35"/>
          <w:szCs w:val="35"/>
        </w:rPr>
        <w:t>新食品原料</w:t>
      </w:r>
      <w:r>
        <w:rPr>
          <w:rFonts w:hint="eastAsia" w:ascii="方正仿宋_GBK" w:hAnsi="微软雅黑" w:eastAsia="方正仿宋_GBK" w:cs="宋体"/>
          <w:color w:val="333333"/>
          <w:kern w:val="0"/>
          <w:sz w:val="35"/>
          <w:szCs w:val="35"/>
        </w:rPr>
        <w:fldChar w:fldCharType="end"/>
      </w:r>
      <w:r>
        <w:rPr>
          <w:rFonts w:hint="eastAsia" w:ascii="方正仿宋_GBK" w:hAnsi="微软雅黑" w:eastAsia="方正仿宋_GBK" w:cs="宋体"/>
          <w:color w:val="333333"/>
          <w:kern w:val="0"/>
          <w:sz w:val="35"/>
          <w:szCs w:val="35"/>
        </w:rPr>
        <w:t>的要对供应商的上游原料、生产环境和生产工艺可能带入的风险进行评估与控制。运动营养食品生产所需的原辅料及包材须符合相应的国家法律法规、标准及相关部门公告的要求。</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方正仿宋_GBK" w:hAnsi="微软雅黑" w:eastAsia="方正仿宋_GBK" w:cs="宋体"/>
          <w:color w:val="333333"/>
          <w:kern w:val="0"/>
          <w:sz w:val="35"/>
          <w:szCs w:val="35"/>
        </w:rPr>
        <w:t>制定主要原料供应商的管理制度、审核制度。对乳清蛋白、大豆蛋白、低聚糖、果糖、肽类等主要原料及食品营养强化剂供应商的审核内容至少包括：供应商的住所、资质证明文件、质量安全标准、检验报告；供应商为生产企业的还应审核：原辅料采购控制能力、生产过程控制能力、设备设施条件、检验能力、不合格品管控能力等。鼓励生产企业定期对主要原辅料供应商的质量管理体系进行评价，并形成质量审核报告。</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5"/>
          <w:szCs w:val="35"/>
        </w:rPr>
        <w:t>第二十二条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应当建立生产过程管理制度，对生产过程中关键控制环节的质量安全进行管控。应当制定清场管理制度。各生产工序在生产结束后、更换品种或批次前，应当对现场进行清场并进行记录。清场工作包括剩余物料的处理，中间品、成品的处理，废弃物的处理，生产用具的处理,外包工序的清场。记录内容包括：工序、品名、生产批次、清场时间、检查项目及结果等，清场负责人及复查人应当在记录上签名，同时对清场的结果进行物料平衡的验证。</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应当制定清洁管理制度。各生产工序在生产结束后、下次生产前，对车间环境、设备设施、工服和人员进行清洁、验证并记录。记录内容包括：清洁对象、清洁方式、清洁时间、效果确认等。</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应当制定食品添加剂使用管理制度。运动营养食品生产过程中食品添加剂的使用应当符合《食品安全国家标准 食品添加使用标准》（GB 2760）中允许使用的食品添加剂种类和添加量。</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5"/>
          <w:szCs w:val="35"/>
        </w:rPr>
        <w:t>第二十三条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应当建立出厂检验记录制度，产品出厂检验应当依据产品执行标准规定的所有检验项目进行逐批检验。自行检验的，应当定期与具有合法资质的检验机构对出厂项目进行能力比对或验证，并符合相应的检验要求；不能自行检验的，应当委托具有合法资质的检验机构进行检验，并出具检验报告。</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5"/>
          <w:szCs w:val="35"/>
        </w:rPr>
        <w:t>第二十四条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应当制订研发管理制度，并配备研发人员。研发部门应当具备研发的能力并制定完善的研发制度及流程。</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研发部门对新产品的研发，应当包括对产品合规性、生产工艺、质量安全和营养方面的综合论证，</w:t>
      </w:r>
      <w:r>
        <w:rPr>
          <w:rFonts w:hint="eastAsia" w:ascii="方正仿宋_GBK" w:hAnsi="微软雅黑" w:eastAsia="方正仿宋_GBK" w:cs="宋体"/>
          <w:color w:val="333333"/>
          <w:kern w:val="0"/>
          <w:highlight w:val="yellow"/>
        </w:rPr>
        <w:t>产品配方应当保证运动人群的安全，</w:t>
      </w:r>
      <w:r>
        <w:rPr>
          <w:rFonts w:hint="eastAsia" w:ascii="方正仿宋_GBK" w:hAnsi="微软雅黑" w:eastAsia="方正仿宋_GBK" w:cs="宋体"/>
          <w:color w:val="333333"/>
          <w:kern w:val="0"/>
        </w:rPr>
        <w:t>满足营养需要，并保留完整的论证文件等资料。</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企业应当建立产品配</w:t>
      </w:r>
      <w:bookmarkStart w:id="2" w:name="_GoBack"/>
      <w:bookmarkEnd w:id="2"/>
      <w:r>
        <w:rPr>
          <w:rFonts w:hint="eastAsia" w:ascii="方正仿宋_GBK" w:hAnsi="微软雅黑" w:eastAsia="方正仿宋_GBK" w:cs="宋体"/>
          <w:color w:val="333333"/>
          <w:kern w:val="0"/>
        </w:rPr>
        <w:t>方管理制度，</w:t>
      </w:r>
      <w:r>
        <w:rPr>
          <w:rFonts w:hint="eastAsia" w:ascii="方正仿宋_GBK" w:hAnsi="微软雅黑" w:eastAsia="方正仿宋_GBK" w:cs="宋体"/>
          <w:color w:val="333333"/>
          <w:kern w:val="0"/>
          <w:highlight w:val="yellow"/>
        </w:rPr>
        <w:t>对产品配方中营养素的均匀性、稳定性、</w:t>
      </w:r>
      <w:r>
        <w:rPr>
          <w:rFonts w:hint="eastAsia" w:ascii="方正仿宋_GBK" w:hAnsi="微软雅黑" w:eastAsia="方正仿宋_GBK" w:cs="宋体"/>
          <w:color w:val="333333"/>
          <w:kern w:val="0"/>
          <w:highlight w:val="yellow"/>
        </w:rPr>
        <w:t>安全性</w:t>
      </w:r>
      <w:r>
        <w:rPr>
          <w:rFonts w:hint="eastAsia" w:ascii="方正仿宋_GBK" w:hAnsi="微软雅黑" w:eastAsia="方正仿宋_GBK" w:cs="宋体"/>
          <w:color w:val="333333"/>
          <w:kern w:val="0"/>
        </w:rPr>
        <w:t>进行跟踪评价并提供相应评价报告。列明配方中使用的食品添加剂、食品营养强化剂使用依据和规定使用量；所使用的食品添加剂、食品营养强化剂应当符合相应产品标准及国务院卫生行政部门相关公告的规定。</w:t>
      </w: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宋体" w:hAnsi="宋体" w:eastAsia="宋体" w:cs="宋体"/>
          <w:b/>
          <w:bCs/>
          <w:color w:val="333333"/>
          <w:kern w:val="0"/>
          <w:sz w:val="35"/>
        </w:rPr>
        <w:t> </w:t>
      </w: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第六节 试制产品检验</w:t>
      </w:r>
    </w:p>
    <w:p>
      <w:pPr>
        <w:widowControl/>
        <w:shd w:val="clear" w:color="auto" w:fill="FFFFFF"/>
        <w:spacing w:line="670" w:lineRule="atLeast"/>
        <w:ind w:firstLine="720"/>
        <w:jc w:val="left"/>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第二十五条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企业所申报运动营养食品的产品，提供试制食品的检验合格报告，检验项目应当包含《食品安全国家标准运动营养食品通则》（GB 24154）标准以及企业标准、法律法规及相关部门公告规定的全部项目。</w:t>
      </w:r>
    </w:p>
    <w:p>
      <w:pPr>
        <w:widowControl/>
        <w:shd w:val="clear" w:color="auto" w:fill="FFFFFF"/>
        <w:spacing w:line="670" w:lineRule="atLeast"/>
        <w:ind w:firstLine="480"/>
        <w:jc w:val="left"/>
        <w:rPr>
          <w:rFonts w:ascii="微软雅黑" w:hAnsi="微软雅黑" w:eastAsia="微软雅黑" w:cs="宋体"/>
          <w:color w:val="333333"/>
          <w:kern w:val="0"/>
          <w:sz w:val="27"/>
          <w:szCs w:val="27"/>
        </w:rPr>
      </w:pPr>
      <w:r>
        <w:rPr>
          <w:rFonts w:hint="eastAsia" w:ascii="宋体" w:hAnsi="宋体" w:eastAsia="宋体" w:cs="宋体"/>
          <w:color w:val="333333"/>
          <w:kern w:val="0"/>
          <w:sz w:val="35"/>
          <w:szCs w:val="35"/>
        </w:rPr>
        <w:t> </w:t>
      </w:r>
    </w:p>
    <w:p>
      <w:pPr>
        <w:widowControl/>
        <w:shd w:val="clear" w:color="auto" w:fill="FFFFFF"/>
        <w:spacing w:line="670" w:lineRule="atLeast"/>
        <w:ind w:firstLine="480"/>
        <w:jc w:val="center"/>
        <w:rPr>
          <w:rFonts w:ascii="微软雅黑" w:hAnsi="微软雅黑" w:eastAsia="微软雅黑" w:cs="宋体"/>
          <w:color w:val="333333"/>
          <w:kern w:val="0"/>
          <w:sz w:val="27"/>
          <w:szCs w:val="27"/>
        </w:rPr>
      </w:pPr>
      <w:r>
        <w:rPr>
          <w:rFonts w:hint="eastAsia" w:ascii="黑体" w:hAnsi="黑体" w:eastAsia="黑体" w:cs="宋体"/>
          <w:color w:val="333333"/>
          <w:kern w:val="0"/>
          <w:sz w:val="35"/>
          <w:szCs w:val="35"/>
        </w:rPr>
        <w:t>第三章 附则</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5"/>
          <w:szCs w:val="35"/>
        </w:rPr>
        <w:t>第二十六条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本方案由河北省市场监督管理局负责解释。</w:t>
      </w:r>
    </w:p>
    <w:p>
      <w:pPr>
        <w:widowControl/>
        <w:shd w:val="clear" w:color="auto" w:fill="FFFFFF"/>
        <w:spacing w:line="670" w:lineRule="atLeast"/>
        <w:ind w:firstLine="720"/>
        <w:jc w:val="left"/>
        <w:rPr>
          <w:rFonts w:ascii="方正仿宋_GBK" w:hAnsi="微软雅黑" w:eastAsia="方正仿宋_GBK" w:cs="宋体"/>
          <w:color w:val="333333"/>
          <w:kern w:val="0"/>
        </w:rPr>
      </w:pPr>
      <w:r>
        <w:rPr>
          <w:rFonts w:hint="eastAsia" w:ascii="黑体" w:hAnsi="黑体" w:eastAsia="黑体" w:cs="宋体"/>
          <w:color w:val="333333"/>
          <w:kern w:val="0"/>
          <w:sz w:val="35"/>
          <w:szCs w:val="35"/>
        </w:rPr>
        <w:t>第二十七条</w:t>
      </w:r>
      <w:r>
        <w:rPr>
          <w:rFonts w:hint="eastAsia" w:ascii="宋体" w:hAnsi="宋体" w:eastAsia="宋体" w:cs="宋体"/>
          <w:color w:val="333333"/>
          <w:kern w:val="0"/>
          <w:sz w:val="35"/>
          <w:szCs w:val="35"/>
        </w:rPr>
        <w:t> </w:t>
      </w:r>
      <w:r>
        <w:rPr>
          <w:rFonts w:hint="eastAsia" w:ascii="方正仿宋_GBK" w:hAnsi="微软雅黑" w:eastAsia="方正仿宋_GBK" w:cs="宋体"/>
          <w:color w:val="333333"/>
          <w:kern w:val="0"/>
        </w:rPr>
        <w:t>本方案自2020年10月19日起施行。</w:t>
      </w:r>
    </w:p>
    <w:p>
      <w:pPr>
        <w:pStyle w:val="17"/>
        <w:tabs>
          <w:tab w:val="left" w:pos="1418"/>
        </w:tabs>
        <w:spacing w:line="520" w:lineRule="exact"/>
        <w:ind w:firstLine="684"/>
        <w:rPr>
          <w:rFonts w:ascii="方正仿宋_GBK" w:hAnsi="微软雅黑" w:eastAsia="方正仿宋_GBK" w:cs="宋体"/>
          <w:color w:val="333333"/>
          <w:kern w:val="0"/>
          <w:sz w:val="35"/>
          <w:szCs w:val="35"/>
        </w:rPr>
      </w:pPr>
    </w:p>
    <w:p>
      <w:pPr>
        <w:pStyle w:val="17"/>
        <w:tabs>
          <w:tab w:val="left" w:pos="1418"/>
        </w:tabs>
        <w:spacing w:line="520" w:lineRule="exact"/>
        <w:ind w:firstLine="624"/>
        <w:rPr>
          <w:rFonts w:ascii="方正仿宋_GBK" w:hAnsi="微软雅黑" w:eastAsia="方正仿宋_GBK" w:cs="宋体"/>
          <w:color w:val="333333"/>
          <w:kern w:val="0"/>
          <w:szCs w:val="32"/>
        </w:rPr>
      </w:pPr>
      <w:r>
        <w:rPr>
          <w:rFonts w:hint="eastAsia" w:ascii="方正仿宋_GBK" w:hAnsi="微软雅黑" w:eastAsia="方正仿宋_GBK" w:cs="宋体"/>
          <w:color w:val="333333"/>
          <w:kern w:val="0"/>
          <w:szCs w:val="32"/>
        </w:rPr>
        <w:t> 附：1.运动营养食品生产车间作业区划分表</w:t>
      </w:r>
    </w:p>
    <w:p>
      <w:pPr>
        <w:widowControl/>
        <w:shd w:val="clear" w:color="auto" w:fill="FFFFFF"/>
        <w:spacing w:line="670" w:lineRule="atLeast"/>
        <w:ind w:firstLine="1326" w:firstLineChars="425"/>
        <w:jc w:val="left"/>
        <w:rPr>
          <w:rFonts w:ascii="方正仿宋_GBK" w:hAnsi="微软雅黑" w:eastAsia="方正仿宋_GBK" w:cs="宋体"/>
          <w:color w:val="333333"/>
          <w:kern w:val="0"/>
        </w:rPr>
      </w:pPr>
      <w:r>
        <w:rPr>
          <w:rFonts w:hint="eastAsia" w:ascii="方正仿宋_GBK" w:hAnsi="微软雅黑" w:eastAsia="方正仿宋_GBK" w:cs="宋体"/>
          <w:color w:val="333333"/>
          <w:kern w:val="0"/>
        </w:rPr>
        <w:t>2.运动营养食品生产清洁作业区标准控制表</w:t>
      </w:r>
    </w:p>
    <w:p>
      <w:pPr>
        <w:widowControl/>
        <w:shd w:val="clear" w:color="auto" w:fill="FFFFFF"/>
        <w:spacing w:line="670" w:lineRule="atLeast"/>
        <w:ind w:firstLine="720"/>
        <w:jc w:val="left"/>
        <w:rPr>
          <w:rFonts w:ascii="方正仿宋_GBK" w:hAnsi="微软雅黑" w:eastAsia="方正仿宋_GBK" w:cs="宋体"/>
          <w:color w:val="333333"/>
          <w:kern w:val="0"/>
          <w:sz w:val="35"/>
          <w:szCs w:val="35"/>
        </w:rPr>
      </w:pPr>
      <w:r>
        <w:rPr>
          <w:rFonts w:hint="eastAsia" w:ascii="方正仿宋_GBK" w:hAnsi="微软雅黑" w:eastAsia="方正仿宋_GBK" w:cs="宋体"/>
          <w:color w:val="333333"/>
          <w:kern w:val="0"/>
          <w:sz w:val="35"/>
          <w:szCs w:val="35"/>
        </w:rPr>
        <w:t> </w:t>
      </w:r>
    </w:p>
    <w:p>
      <w:pPr>
        <w:widowControl/>
        <w:shd w:val="clear" w:color="auto" w:fill="FFFFFF"/>
        <w:spacing w:line="670" w:lineRule="atLeast"/>
        <w:ind w:firstLine="720"/>
        <w:jc w:val="left"/>
        <w:rPr>
          <w:rFonts w:ascii="方正仿宋_GBK" w:hAnsi="微软雅黑" w:eastAsia="方正仿宋_GBK" w:cs="宋体"/>
          <w:color w:val="333333"/>
          <w:kern w:val="0"/>
          <w:sz w:val="35"/>
          <w:szCs w:val="35"/>
        </w:rPr>
        <w:sectPr>
          <w:footerReference r:id="rId3" w:type="default"/>
          <w:footerReference r:id="rId4" w:type="even"/>
          <w:pgSz w:w="11906" w:h="16838"/>
          <w:pgMar w:top="2098" w:right="1588" w:bottom="1701" w:left="1588" w:header="851" w:footer="1418" w:gutter="0"/>
          <w:cols w:space="720" w:num="1"/>
          <w:docGrid w:type="linesAndChars" w:linePitch="592" w:charSpace="-1683"/>
        </w:sectPr>
      </w:pPr>
    </w:p>
    <w:p>
      <w:pPr>
        <w:widowControl/>
        <w:shd w:val="clear" w:color="auto" w:fill="FFFFFF"/>
        <w:ind w:firstLine="480"/>
        <w:jc w:val="left"/>
        <w:rPr>
          <w:rFonts w:ascii="方正黑体_GBK" w:hAnsi="微软雅黑" w:eastAsia="方正黑体_GBK" w:cs="宋体"/>
          <w:color w:val="000000"/>
          <w:kern w:val="0"/>
          <w:sz w:val="35"/>
          <w:szCs w:val="35"/>
        </w:rPr>
      </w:pPr>
      <w:r>
        <w:rPr>
          <w:rFonts w:hint="eastAsia" w:ascii="黑体" w:hAnsi="黑体" w:eastAsia="黑体" w:cs="黑体"/>
        </w:rPr>
        <w:t>附件1    运动营养食品生产车间作业区划分表</w:t>
      </w:r>
    </w:p>
    <w:tbl>
      <w:tblPr>
        <w:tblStyle w:val="9"/>
        <w:tblW w:w="8931" w:type="dxa"/>
        <w:tblInd w:w="105" w:type="dxa"/>
        <w:shd w:val="clear" w:color="auto" w:fill="FFFFFF"/>
        <w:tblLayout w:type="autofit"/>
        <w:tblCellMar>
          <w:top w:w="0" w:type="dxa"/>
          <w:left w:w="0" w:type="dxa"/>
          <w:bottom w:w="0" w:type="dxa"/>
          <w:right w:w="0" w:type="dxa"/>
        </w:tblCellMar>
      </w:tblPr>
      <w:tblGrid>
        <w:gridCol w:w="851"/>
        <w:gridCol w:w="1417"/>
        <w:gridCol w:w="1927"/>
        <w:gridCol w:w="2728"/>
        <w:gridCol w:w="2008"/>
      </w:tblGrid>
      <w:tr>
        <w:tblPrEx>
          <w:shd w:val="clear" w:color="auto" w:fill="FFFFFF"/>
          <w:tblCellMar>
            <w:top w:w="0" w:type="dxa"/>
            <w:left w:w="0" w:type="dxa"/>
            <w:bottom w:w="0" w:type="dxa"/>
            <w:right w:w="0" w:type="dxa"/>
          </w:tblCellMar>
        </w:tblPrEx>
        <w:trPr>
          <w:trHeight w:val="525" w:hRule="atLeast"/>
        </w:trPr>
        <w:tc>
          <w:tcPr>
            <w:tcW w:w="85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序号</w:t>
            </w:r>
          </w:p>
        </w:tc>
        <w:tc>
          <w:tcPr>
            <w:tcW w:w="141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产品形态</w:t>
            </w:r>
          </w:p>
        </w:tc>
        <w:tc>
          <w:tcPr>
            <w:tcW w:w="192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清洁作业区</w:t>
            </w:r>
          </w:p>
        </w:tc>
        <w:tc>
          <w:tcPr>
            <w:tcW w:w="27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准清洁作业区</w:t>
            </w:r>
          </w:p>
        </w:tc>
        <w:tc>
          <w:tcPr>
            <w:tcW w:w="200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一般作业区</w:t>
            </w:r>
          </w:p>
        </w:tc>
      </w:tr>
      <w:tr>
        <w:tblPrEx>
          <w:shd w:val="clear" w:color="auto" w:fill="FFFFFF"/>
          <w:tblCellMar>
            <w:top w:w="0" w:type="dxa"/>
            <w:left w:w="0" w:type="dxa"/>
            <w:bottom w:w="0" w:type="dxa"/>
            <w:right w:w="0" w:type="dxa"/>
          </w:tblCellMar>
        </w:tblPrEx>
        <w:trPr>
          <w:trHeight w:val="1065" w:hRule="atLeast"/>
        </w:trPr>
        <w:tc>
          <w:tcPr>
            <w:tcW w:w="8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jc w:val="center"/>
              <w:rPr>
                <w:rFonts w:ascii="仿宋" w:hAnsi="仿宋" w:cs="仿宋"/>
                <w:sz w:val="24"/>
                <w:szCs w:val="24"/>
              </w:rPr>
            </w:pPr>
            <w:r>
              <w:rPr>
                <w:rFonts w:hint="eastAsia" w:ascii="仿宋" w:hAnsi="仿宋" w:cs="仿宋"/>
                <w:sz w:val="24"/>
                <w:szCs w:val="24"/>
              </w:rPr>
              <w:t>1</w:t>
            </w:r>
          </w:p>
        </w:tc>
        <w:tc>
          <w:tcPr>
            <w:tcW w:w="14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液态类</w:t>
            </w:r>
          </w:p>
        </w:tc>
        <w:tc>
          <w:tcPr>
            <w:tcW w:w="19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灌装车间（限无菌灌装）、包材消毒清洁间（限无菌灌装）</w:t>
            </w:r>
          </w:p>
        </w:tc>
        <w:tc>
          <w:tcPr>
            <w:tcW w:w="27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原料加工处理车间、配料混合车间、洗瓶（罐）车间、灌装车间（非无菌灌装）、包材消毒清洁间（非无菌灌装）、杀菌车间（非无菌灌装）、冷却车间、其他加工车间</w:t>
            </w:r>
          </w:p>
        </w:tc>
        <w:tc>
          <w:tcPr>
            <w:tcW w:w="20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原辅料、包装材料、成品仓库及外包装间</w:t>
            </w:r>
          </w:p>
        </w:tc>
      </w:tr>
      <w:tr>
        <w:tblPrEx>
          <w:shd w:val="clear" w:color="auto" w:fill="FFFFFF"/>
          <w:tblCellMar>
            <w:top w:w="0" w:type="dxa"/>
            <w:left w:w="0" w:type="dxa"/>
            <w:bottom w:w="0" w:type="dxa"/>
            <w:right w:w="0" w:type="dxa"/>
          </w:tblCellMar>
        </w:tblPrEx>
        <w:trPr>
          <w:trHeight w:val="1065" w:hRule="atLeast"/>
        </w:trPr>
        <w:tc>
          <w:tcPr>
            <w:tcW w:w="8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jc w:val="center"/>
              <w:rPr>
                <w:rFonts w:ascii="仿宋" w:hAnsi="仿宋" w:cs="仿宋"/>
                <w:sz w:val="24"/>
                <w:szCs w:val="24"/>
              </w:rPr>
            </w:pPr>
            <w:r>
              <w:rPr>
                <w:rFonts w:hint="eastAsia" w:ascii="仿宋" w:hAnsi="仿宋" w:cs="仿宋"/>
                <w:sz w:val="24"/>
                <w:szCs w:val="24"/>
              </w:rPr>
              <w:t>2</w:t>
            </w:r>
          </w:p>
        </w:tc>
        <w:tc>
          <w:tcPr>
            <w:tcW w:w="14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固态类</w:t>
            </w:r>
          </w:p>
        </w:tc>
        <w:tc>
          <w:tcPr>
            <w:tcW w:w="19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配料、混料车间（干法工艺）、成型车间、冷却车间、半成品暂存间、包材消毒清洁间、内包装车间等</w:t>
            </w:r>
          </w:p>
        </w:tc>
        <w:tc>
          <w:tcPr>
            <w:tcW w:w="27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原料加工处理车间、配料、混料车间（湿法工艺）、干燥车间或膨化车间、烘烤车间、原辅料外包装清洁间、其他加工车间</w:t>
            </w:r>
          </w:p>
        </w:tc>
        <w:tc>
          <w:tcPr>
            <w:tcW w:w="20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原辅料、包装材料、成品仓库及外包装间</w:t>
            </w:r>
          </w:p>
        </w:tc>
      </w:tr>
      <w:tr>
        <w:tblPrEx>
          <w:shd w:val="clear" w:color="auto" w:fill="FFFFFF"/>
          <w:tblCellMar>
            <w:top w:w="0" w:type="dxa"/>
            <w:left w:w="0" w:type="dxa"/>
            <w:bottom w:w="0" w:type="dxa"/>
            <w:right w:w="0" w:type="dxa"/>
          </w:tblCellMar>
        </w:tblPrEx>
        <w:trPr>
          <w:trHeight w:val="1065" w:hRule="atLeast"/>
        </w:trPr>
        <w:tc>
          <w:tcPr>
            <w:tcW w:w="85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jc w:val="center"/>
              <w:rPr>
                <w:rFonts w:ascii="仿宋" w:hAnsi="仿宋" w:cs="仿宋"/>
                <w:sz w:val="24"/>
                <w:szCs w:val="24"/>
              </w:rPr>
            </w:pPr>
            <w:r>
              <w:rPr>
                <w:rFonts w:hint="eastAsia" w:ascii="仿宋" w:hAnsi="仿宋" w:cs="仿宋"/>
                <w:sz w:val="24"/>
                <w:szCs w:val="24"/>
              </w:rPr>
              <w:t>3</w:t>
            </w:r>
          </w:p>
        </w:tc>
        <w:tc>
          <w:tcPr>
            <w:tcW w:w="14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半固态</w:t>
            </w:r>
          </w:p>
        </w:tc>
        <w:tc>
          <w:tcPr>
            <w:tcW w:w="19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灌装车间（后杀菌工艺可以设立在准清洁区）</w:t>
            </w:r>
          </w:p>
        </w:tc>
        <w:tc>
          <w:tcPr>
            <w:tcW w:w="27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原料加工处理车间、配料混合车间、洗瓶（罐）车间、灌装车间、包材消毒清洁间、杀菌车间、冷却车间、其他加工车间</w:t>
            </w:r>
          </w:p>
        </w:tc>
        <w:tc>
          <w:tcPr>
            <w:tcW w:w="20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310" w:lineRule="exact"/>
              <w:ind w:left="62" w:leftChars="20" w:right="62" w:rightChars="20"/>
              <w:rPr>
                <w:rFonts w:ascii="仿宋" w:hAnsi="仿宋" w:cs="仿宋"/>
                <w:sz w:val="24"/>
                <w:szCs w:val="24"/>
              </w:rPr>
            </w:pPr>
            <w:r>
              <w:rPr>
                <w:rFonts w:hint="eastAsia" w:ascii="仿宋" w:hAnsi="仿宋" w:cs="仿宋"/>
                <w:sz w:val="24"/>
                <w:szCs w:val="24"/>
              </w:rPr>
              <w:t>原辅料、包装材料、成品仓库及外包装间</w:t>
            </w:r>
          </w:p>
        </w:tc>
      </w:tr>
    </w:tbl>
    <w:p>
      <w:pPr>
        <w:widowControl/>
        <w:shd w:val="clear" w:color="auto" w:fill="FFFFFF"/>
        <w:spacing w:line="586" w:lineRule="atLeast"/>
        <w:ind w:firstLine="480"/>
        <w:jc w:val="left"/>
        <w:rPr>
          <w:rFonts w:ascii="微软雅黑" w:hAnsi="微软雅黑" w:eastAsia="微软雅黑" w:cs="宋体"/>
          <w:color w:val="333333"/>
          <w:kern w:val="0"/>
          <w:sz w:val="27"/>
          <w:szCs w:val="27"/>
        </w:rPr>
      </w:pPr>
      <w:r>
        <w:rPr>
          <w:rFonts w:hint="eastAsia" w:ascii="宋体" w:hAnsi="宋体" w:eastAsia="宋体" w:cs="宋体"/>
          <w:color w:val="000000"/>
          <w:kern w:val="0"/>
        </w:rPr>
        <w:t> </w:t>
      </w:r>
    </w:p>
    <w:p>
      <w:pPr>
        <w:widowControl/>
        <w:ind w:firstLine="480"/>
        <w:jc w:val="left"/>
        <w:rPr>
          <w:rFonts w:ascii="微软雅黑" w:hAnsi="微软雅黑" w:eastAsia="微软雅黑" w:cs="宋体"/>
          <w:color w:val="000000"/>
          <w:kern w:val="0"/>
          <w:sz w:val="27"/>
          <w:szCs w:val="27"/>
          <w:shd w:val="clear" w:color="auto" w:fill="FFFFFF"/>
        </w:rPr>
      </w:pPr>
      <w:r>
        <w:rPr>
          <w:rFonts w:hint="eastAsia" w:ascii="微软雅黑" w:hAnsi="微软雅黑" w:eastAsia="微软雅黑" w:cs="宋体"/>
          <w:color w:val="000000"/>
          <w:kern w:val="0"/>
          <w:sz w:val="27"/>
          <w:szCs w:val="27"/>
          <w:shd w:val="clear" w:color="auto" w:fill="FFFFFF"/>
        </w:rPr>
        <w:t> </w:t>
      </w:r>
    </w:p>
    <w:p>
      <w:pPr>
        <w:widowControl/>
        <w:ind w:firstLine="480"/>
        <w:jc w:val="left"/>
        <w:rPr>
          <w:rFonts w:ascii="微软雅黑" w:hAnsi="微软雅黑" w:eastAsia="微软雅黑" w:cs="宋体"/>
          <w:color w:val="000000"/>
          <w:kern w:val="0"/>
          <w:sz w:val="27"/>
          <w:szCs w:val="27"/>
          <w:shd w:val="clear" w:color="auto" w:fill="FFFFFF"/>
        </w:rPr>
      </w:pPr>
      <w:r>
        <w:rPr>
          <w:rFonts w:hint="eastAsia" w:ascii="微软雅黑" w:hAnsi="微软雅黑" w:eastAsia="微软雅黑" w:cs="宋体"/>
          <w:color w:val="000000"/>
          <w:kern w:val="0"/>
          <w:sz w:val="27"/>
          <w:szCs w:val="27"/>
          <w:shd w:val="clear" w:color="auto" w:fill="FFFFFF"/>
        </w:rPr>
        <w:t> </w:t>
      </w:r>
    </w:p>
    <w:p>
      <w:pPr>
        <w:widowControl/>
        <w:ind w:firstLine="480"/>
        <w:jc w:val="left"/>
        <w:rPr>
          <w:rFonts w:ascii="方正黑体_GBK" w:hAnsi="微软雅黑" w:eastAsia="方正黑体_GBK" w:cs="宋体"/>
          <w:color w:val="000000"/>
          <w:kern w:val="0"/>
          <w:sz w:val="35"/>
          <w:szCs w:val="35"/>
          <w:shd w:val="clear" w:color="auto" w:fill="FFFFFF"/>
        </w:rPr>
        <w:sectPr>
          <w:pgSz w:w="11906" w:h="16838"/>
          <w:pgMar w:top="2098" w:right="1588" w:bottom="1701" w:left="1588" w:header="851" w:footer="1418" w:gutter="0"/>
          <w:cols w:space="720" w:num="1"/>
          <w:docGrid w:type="linesAndChars" w:linePitch="592" w:charSpace="-1683"/>
        </w:sectPr>
      </w:pPr>
    </w:p>
    <w:p>
      <w:pPr>
        <w:spacing w:line="360" w:lineRule="auto"/>
        <w:rPr>
          <w:rFonts w:ascii="黑体" w:hAnsi="黑体" w:eastAsia="黑体" w:cs="黑体"/>
        </w:rPr>
      </w:pPr>
      <w:r>
        <w:rPr>
          <w:rFonts w:hint="eastAsia" w:ascii="黑体" w:hAnsi="黑体" w:eastAsia="黑体" w:cs="黑体"/>
        </w:rPr>
        <w:t>附件2   </w:t>
      </w:r>
      <w:r>
        <w:rPr>
          <w:rFonts w:hint="eastAsia" w:ascii="方正仿宋_GBK" w:hAnsi="微软雅黑" w:eastAsia="方正仿宋_GBK" w:cs="宋体"/>
          <w:color w:val="333333"/>
          <w:kern w:val="0"/>
        </w:rPr>
        <w:t>运动营养食品生产清洁作业区标准控制表</w:t>
      </w:r>
    </w:p>
    <w:tbl>
      <w:tblPr>
        <w:tblStyle w:val="9"/>
        <w:tblW w:w="8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1554"/>
        <w:gridCol w:w="2016"/>
        <w:gridCol w:w="2801"/>
        <w:gridCol w:w="1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blHeader/>
          <w:jc w:val="center"/>
        </w:trPr>
        <w:tc>
          <w:tcPr>
            <w:tcW w:w="957" w:type="dxa"/>
            <w:tcBorders>
              <w:top w:val="single" w:color="000000" w:sz="2" w:space="0"/>
              <w:left w:val="single" w:color="auto" w:sz="4" w:space="0"/>
              <w:bottom w:val="single" w:color="auto" w:sz="4" w:space="0"/>
              <w:right w:val="single" w:color="000000" w:sz="2" w:space="0"/>
            </w:tcBorders>
            <w:shd w:val="clear" w:color="auto" w:fill="FFFFFF"/>
            <w:vAlign w:val="center"/>
          </w:tcPr>
          <w:p>
            <w:pPr>
              <w:spacing w:line="300" w:lineRule="exact"/>
              <w:ind w:left="62" w:leftChars="20" w:right="62" w:rightChars="20"/>
              <w:jc w:val="center"/>
              <w:rPr>
                <w:rFonts w:ascii="仿宋" w:hAnsi="仿宋" w:cs="黑体"/>
                <w:bCs/>
                <w:sz w:val="24"/>
                <w:szCs w:val="24"/>
              </w:rPr>
            </w:pPr>
            <w:r>
              <w:rPr>
                <w:rFonts w:hint="eastAsia" w:ascii="仿宋" w:hAnsi="仿宋" w:cs="黑体"/>
                <w:bCs/>
                <w:sz w:val="24"/>
                <w:szCs w:val="24"/>
              </w:rPr>
              <w:t>项目</w:t>
            </w:r>
          </w:p>
        </w:tc>
        <w:tc>
          <w:tcPr>
            <w:tcW w:w="1554"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300" w:lineRule="exact"/>
              <w:ind w:left="62" w:leftChars="20" w:right="62" w:rightChars="20"/>
              <w:jc w:val="center"/>
              <w:rPr>
                <w:rFonts w:ascii="仿宋" w:hAnsi="仿宋" w:cs="黑体"/>
                <w:bCs/>
                <w:sz w:val="24"/>
                <w:szCs w:val="24"/>
              </w:rPr>
            </w:pPr>
            <w:r>
              <w:rPr>
                <w:rFonts w:hint="eastAsia" w:ascii="仿宋" w:hAnsi="仿宋" w:cs="黑体"/>
                <w:bCs/>
                <w:sz w:val="24"/>
                <w:szCs w:val="24"/>
              </w:rPr>
              <w:t>内容</w:t>
            </w:r>
          </w:p>
        </w:tc>
        <w:tc>
          <w:tcPr>
            <w:tcW w:w="2016" w:type="dxa"/>
            <w:tcBorders>
              <w:top w:val="single" w:color="000000" w:sz="2" w:space="0"/>
              <w:left w:val="single" w:color="000000" w:sz="2" w:space="0"/>
              <w:bottom w:val="single" w:color="auto" w:sz="4" w:space="0"/>
              <w:right w:val="single" w:color="000000" w:sz="2" w:space="0"/>
            </w:tcBorders>
            <w:shd w:val="clear" w:color="auto" w:fill="FFFFFF"/>
            <w:vAlign w:val="center"/>
          </w:tcPr>
          <w:p>
            <w:pPr>
              <w:spacing w:line="300" w:lineRule="exact"/>
              <w:ind w:left="62" w:leftChars="20" w:right="62" w:rightChars="20"/>
              <w:jc w:val="center"/>
              <w:rPr>
                <w:rFonts w:ascii="仿宋" w:hAnsi="仿宋" w:cs="黑体"/>
                <w:bCs/>
                <w:sz w:val="24"/>
                <w:szCs w:val="24"/>
              </w:rPr>
            </w:pPr>
            <w:r>
              <w:rPr>
                <w:rFonts w:hint="eastAsia" w:ascii="仿宋" w:hAnsi="仿宋" w:cs="黑体"/>
                <w:bCs/>
                <w:sz w:val="24"/>
                <w:szCs w:val="24"/>
              </w:rPr>
              <w:t>检测方法</w:t>
            </w:r>
          </w:p>
        </w:tc>
        <w:tc>
          <w:tcPr>
            <w:tcW w:w="2801" w:type="dxa"/>
            <w:tcBorders>
              <w:top w:val="single" w:color="000000" w:sz="2" w:space="0"/>
              <w:left w:val="single" w:color="000000" w:sz="2" w:space="0"/>
              <w:right w:val="single" w:color="000000" w:sz="2" w:space="0"/>
            </w:tcBorders>
            <w:shd w:val="clear" w:color="auto" w:fill="FFFFFF"/>
            <w:vAlign w:val="center"/>
          </w:tcPr>
          <w:p>
            <w:pPr>
              <w:spacing w:line="300" w:lineRule="exact"/>
              <w:ind w:left="62" w:leftChars="20" w:right="62" w:rightChars="20"/>
              <w:jc w:val="center"/>
              <w:rPr>
                <w:rFonts w:ascii="仿宋" w:hAnsi="仿宋" w:cs="黑体"/>
                <w:bCs/>
                <w:sz w:val="24"/>
                <w:szCs w:val="24"/>
              </w:rPr>
            </w:pPr>
            <w:r>
              <w:rPr>
                <w:rFonts w:hint="eastAsia" w:ascii="仿宋" w:hAnsi="仿宋" w:cs="黑体"/>
                <w:bCs/>
                <w:sz w:val="24"/>
                <w:szCs w:val="24"/>
              </w:rPr>
              <w:t>控制要求</w:t>
            </w:r>
          </w:p>
        </w:tc>
        <w:tc>
          <w:tcPr>
            <w:tcW w:w="1426" w:type="dxa"/>
            <w:tcBorders>
              <w:top w:val="single" w:color="000000" w:sz="2" w:space="0"/>
              <w:left w:val="single" w:color="000000" w:sz="2" w:space="0"/>
              <w:right w:val="single" w:color="000000" w:sz="2" w:space="0"/>
            </w:tcBorders>
            <w:shd w:val="clear" w:color="auto" w:fill="FFFFFF"/>
            <w:vAlign w:val="center"/>
          </w:tcPr>
          <w:p>
            <w:pPr>
              <w:spacing w:line="300" w:lineRule="exact"/>
              <w:ind w:left="62" w:leftChars="20" w:right="62" w:rightChars="20"/>
              <w:jc w:val="center"/>
              <w:rPr>
                <w:rFonts w:ascii="仿宋" w:hAnsi="仿宋" w:cs="黑体"/>
                <w:bCs/>
                <w:sz w:val="24"/>
                <w:szCs w:val="24"/>
              </w:rPr>
            </w:pPr>
            <w:r>
              <w:rPr>
                <w:rFonts w:hint="eastAsia" w:ascii="仿宋" w:hAnsi="仿宋" w:cs="黑体"/>
                <w:bCs/>
                <w:sz w:val="24"/>
                <w:szCs w:val="24"/>
              </w:rPr>
              <w:t>监控频次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vMerge w:val="restart"/>
            <w:tcBorders>
              <w:top w:val="single" w:color="auto" w:sz="4"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悬浮粒子</w:t>
            </w:r>
          </w:p>
        </w:tc>
        <w:tc>
          <w:tcPr>
            <w:tcW w:w="1554" w:type="dxa"/>
            <w:tcBorders>
              <w:top w:val="single" w:color="auto" w:sz="4"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≥0.5μm</w:t>
            </w:r>
          </w:p>
        </w:tc>
        <w:tc>
          <w:tcPr>
            <w:tcW w:w="2016" w:type="dxa"/>
            <w:tcBorders>
              <w:top w:val="single" w:color="auto" w:sz="4"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GB/T 16292</w:t>
            </w:r>
          </w:p>
        </w:tc>
        <w:tc>
          <w:tcPr>
            <w:tcW w:w="2801" w:type="dxa"/>
            <w:tcBorders>
              <w:top w:val="single" w:color="auto" w:sz="4"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≤3520000粒/m</w:t>
            </w:r>
            <w:r>
              <w:rPr>
                <w:rFonts w:hint="eastAsia" w:ascii="仿宋" w:hAnsi="仿宋" w:cs="仿宋"/>
                <w:sz w:val="24"/>
                <w:szCs w:val="24"/>
                <w:vertAlign w:val="superscript"/>
              </w:rPr>
              <w:t>3</w:t>
            </w:r>
          </w:p>
        </w:tc>
        <w:tc>
          <w:tcPr>
            <w:tcW w:w="1426" w:type="dxa"/>
            <w:tcBorders>
              <w:top w:val="single" w:color="auto" w:sz="4"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≥5.0μm</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GB/T 16292</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≤29000粒/m</w:t>
            </w:r>
            <w:r>
              <w:rPr>
                <w:rFonts w:hint="eastAsia" w:ascii="仿宋" w:hAnsi="仿宋" w:cs="仿宋"/>
                <w:sz w:val="24"/>
                <w:szCs w:val="24"/>
                <w:vertAlign w:val="superscript"/>
              </w:rPr>
              <w:t>3</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微生物最大允许数</w:t>
            </w: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浮游菌</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GB/T 16293</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≤200 cfu/m</w:t>
            </w:r>
            <w:r>
              <w:rPr>
                <w:rFonts w:hint="eastAsia" w:ascii="仿宋" w:hAnsi="仿宋" w:cs="仿宋"/>
                <w:sz w:val="24"/>
                <w:szCs w:val="24"/>
                <w:vertAlign w:val="superscript"/>
              </w:rPr>
              <w:t>3</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沉降菌</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GB/T 16294</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≤100 cfu/4h（φ90mm）</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表面微生物</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参照GB 15982采样，按GB 4789.2计数</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≤50cfu/皿（φ55mm）</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压差</w:t>
            </w: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清洁作业区与非清洁作业区之间</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通过压差计测量</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≥10Pa</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2次/班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换气次数</w:t>
            </w: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通过测定风速验证换气次数</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通过风速仪测定</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≥10次/h</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更换高效过滤器时或1次/月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温度</w:t>
            </w: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jc w:val="center"/>
              <w:rPr>
                <w:rFonts w:ascii="仿宋" w:hAnsi="仿宋" w:cs="仿宋"/>
                <w:sz w:val="24"/>
                <w:szCs w:val="24"/>
              </w:rPr>
            </w:pPr>
            <w:r>
              <w:rPr>
                <w:rFonts w:hint="eastAsia" w:ascii="仿宋" w:hAnsi="仿宋" w:cs="仿宋"/>
                <w:sz w:val="24"/>
                <w:szCs w:val="24"/>
              </w:rPr>
              <w:t>-</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通过温度表测定</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16—26℃</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2次/班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57"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相对湿度</w:t>
            </w:r>
          </w:p>
        </w:tc>
        <w:tc>
          <w:tcPr>
            <w:tcW w:w="15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jc w:val="center"/>
              <w:rPr>
                <w:rFonts w:ascii="仿宋" w:hAnsi="仿宋" w:cs="仿宋"/>
                <w:sz w:val="24"/>
                <w:szCs w:val="24"/>
              </w:rPr>
            </w:pPr>
            <w:r>
              <w:rPr>
                <w:rFonts w:hint="eastAsia" w:ascii="仿宋" w:hAnsi="仿宋" w:cs="仿宋"/>
                <w:sz w:val="24"/>
                <w:szCs w:val="24"/>
              </w:rPr>
              <w:t>-</w:t>
            </w:r>
          </w:p>
        </w:tc>
        <w:tc>
          <w:tcPr>
            <w:tcW w:w="201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通过湿度表测定</w:t>
            </w:r>
          </w:p>
        </w:tc>
        <w:tc>
          <w:tcPr>
            <w:tcW w:w="28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≤65%</w:t>
            </w:r>
          </w:p>
        </w:tc>
        <w:tc>
          <w:tcPr>
            <w:tcW w:w="14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2次/班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754"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00" w:lineRule="exact"/>
              <w:ind w:left="62" w:leftChars="20" w:right="62" w:rightChars="20"/>
              <w:rPr>
                <w:rFonts w:ascii="仿宋" w:hAnsi="仿宋" w:cs="仿宋"/>
                <w:sz w:val="24"/>
                <w:szCs w:val="24"/>
              </w:rPr>
            </w:pPr>
            <w:r>
              <w:rPr>
                <w:rFonts w:hint="eastAsia" w:ascii="仿宋" w:hAnsi="仿宋" w:cs="仿宋"/>
                <w:sz w:val="24"/>
                <w:szCs w:val="24"/>
              </w:rPr>
              <w:t>注：1.悬浮粒子按GB/T 16292 测定，测定状态为静态。</w:t>
            </w:r>
          </w:p>
          <w:p>
            <w:pPr>
              <w:spacing w:line="300" w:lineRule="exact"/>
              <w:ind w:left="62" w:leftChars="20" w:right="62" w:rightChars="20" w:firstLine="348" w:firstLineChars="150"/>
              <w:rPr>
                <w:rFonts w:ascii="仿宋" w:hAnsi="仿宋" w:cs="仿宋"/>
                <w:sz w:val="24"/>
                <w:szCs w:val="24"/>
              </w:rPr>
            </w:pPr>
            <w:r>
              <w:rPr>
                <w:rFonts w:hint="eastAsia" w:ascii="仿宋" w:hAnsi="仿宋" w:cs="仿宋"/>
                <w:sz w:val="24"/>
                <w:szCs w:val="24"/>
              </w:rPr>
              <w:t>2.换气次数通过风速进行转换后测定。计算公式为：N=3600SV/A，监测时通过风速计算。其中，N=换气次数，次/h；S=风口通风面积，m</w:t>
            </w:r>
            <w:r>
              <w:rPr>
                <w:rFonts w:hint="eastAsia" w:ascii="仿宋" w:hAnsi="仿宋" w:cs="仿宋"/>
                <w:sz w:val="24"/>
                <w:szCs w:val="24"/>
                <w:vertAlign w:val="superscript"/>
              </w:rPr>
              <w:t>2</w:t>
            </w:r>
            <w:r>
              <w:rPr>
                <w:rFonts w:hint="eastAsia" w:ascii="仿宋" w:hAnsi="仿宋" w:cs="仿宋"/>
                <w:sz w:val="24"/>
                <w:szCs w:val="24"/>
              </w:rPr>
              <w:t>；A=车间容积，m</w:t>
            </w:r>
            <w:r>
              <w:rPr>
                <w:rFonts w:hint="eastAsia" w:ascii="仿宋" w:hAnsi="仿宋" w:cs="仿宋"/>
                <w:sz w:val="24"/>
                <w:szCs w:val="24"/>
                <w:vertAlign w:val="superscript"/>
              </w:rPr>
              <w:t>3</w:t>
            </w:r>
            <w:r>
              <w:rPr>
                <w:rFonts w:hint="eastAsia" w:ascii="仿宋" w:hAnsi="仿宋" w:cs="仿宋"/>
                <w:sz w:val="24"/>
                <w:szCs w:val="24"/>
              </w:rPr>
              <w:t>；V=测得风口平均风速，m/s。</w:t>
            </w:r>
          </w:p>
          <w:p>
            <w:pPr>
              <w:spacing w:line="300" w:lineRule="exact"/>
              <w:ind w:left="62" w:leftChars="20" w:right="62" w:rightChars="20" w:firstLine="348" w:firstLineChars="150"/>
              <w:rPr>
                <w:rFonts w:ascii="仿宋" w:hAnsi="仿宋" w:cs="仿宋"/>
                <w:sz w:val="24"/>
                <w:szCs w:val="24"/>
              </w:rPr>
            </w:pPr>
            <w:r>
              <w:rPr>
                <w:rFonts w:hint="eastAsia" w:ascii="仿宋" w:hAnsi="仿宋" w:cs="仿宋"/>
                <w:sz w:val="24"/>
                <w:szCs w:val="24"/>
              </w:rPr>
              <w:t>3.换气次数适用于层高小于4.0m的清洁作业区。</w:t>
            </w:r>
          </w:p>
          <w:p>
            <w:pPr>
              <w:spacing w:line="300" w:lineRule="exact"/>
              <w:ind w:left="62" w:leftChars="20" w:right="62" w:rightChars="20" w:firstLine="348" w:firstLineChars="150"/>
              <w:rPr>
                <w:rFonts w:ascii="仿宋" w:hAnsi="仿宋" w:cs="仿宋"/>
                <w:sz w:val="24"/>
                <w:szCs w:val="24"/>
              </w:rPr>
            </w:pPr>
            <w:r>
              <w:rPr>
                <w:rFonts w:hint="eastAsia" w:ascii="仿宋" w:hAnsi="仿宋" w:cs="仿宋"/>
                <w:sz w:val="24"/>
                <w:szCs w:val="24"/>
              </w:rPr>
              <w:t>4.延长或缩短监控频次前，生产企业应当进行效果确认，并提供确认报告。</w:t>
            </w:r>
          </w:p>
        </w:tc>
      </w:tr>
    </w:tbl>
    <w:p>
      <w:pPr>
        <w:spacing w:line="360" w:lineRule="auto"/>
      </w:pPr>
    </w:p>
    <w:p>
      <w:pPr>
        <w:pStyle w:val="4"/>
        <w:tabs>
          <w:tab w:val="left" w:pos="0"/>
        </w:tabs>
        <w:spacing w:line="520" w:lineRule="exact"/>
        <w:jc w:val="left"/>
        <w:rPr>
          <w:rFonts w:ascii="黑体" w:hAnsi="黑体" w:eastAsia="黑体" w:cs="宋体"/>
          <w:color w:val="333333"/>
          <w:kern w:val="0"/>
          <w:sz w:val="35"/>
          <w:szCs w:val="35"/>
        </w:rPr>
      </w:pPr>
    </w:p>
    <w:bookmarkEnd w:id="0"/>
    <w:bookmarkEnd w:id="1"/>
    <w:p>
      <w:pPr>
        <w:spacing w:line="590" w:lineRule="exact"/>
        <w:ind w:firstLine="624" w:firstLineChars="200"/>
        <w:rPr>
          <w:rFonts w:ascii="仿宋" w:hAnsi="仿宋"/>
        </w:rPr>
      </w:pPr>
    </w:p>
    <w:sectPr>
      <w:pgSz w:w="11906" w:h="16838"/>
      <w:pgMar w:top="2098" w:right="1588" w:bottom="1701" w:left="1588" w:header="851" w:footer="1418" w:gutter="0"/>
      <w:cols w:space="720" w:num="1"/>
      <w:docGrid w:type="linesAndChars" w:linePitch="59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2"/>
        <w:rFonts w:ascii="宋体" w:hAnsi="宋体"/>
        <w:sz w:val="28"/>
      </w:rPr>
    </w:pPr>
    <w:r>
      <w:rPr>
        <w:rStyle w:val="12"/>
        <w:rFonts w:hint="eastAsia" w:ascii="宋体" w:hAnsi="宋体"/>
        <w:sz w:val="28"/>
      </w:rPr>
      <w:t xml:space="preserve">— </w:t>
    </w:r>
    <w:r>
      <w:rPr>
        <w:rFonts w:ascii="宋体" w:hAnsi="宋体"/>
        <w:sz w:val="28"/>
      </w:rPr>
      <w:fldChar w:fldCharType="begin"/>
    </w:r>
    <w:r>
      <w:rPr>
        <w:rStyle w:val="12"/>
        <w:rFonts w:ascii="宋体" w:hAnsi="宋体"/>
        <w:sz w:val="28"/>
      </w:rPr>
      <w:instrText xml:space="preserve">PAGE  </w:instrText>
    </w:r>
    <w:r>
      <w:rPr>
        <w:rFonts w:ascii="宋体" w:hAnsi="宋体"/>
        <w:sz w:val="28"/>
      </w:rPr>
      <w:fldChar w:fldCharType="separate"/>
    </w:r>
    <w:r>
      <w:rPr>
        <w:rStyle w:val="12"/>
        <w:rFonts w:ascii="宋体" w:hAnsi="宋体"/>
        <w:sz w:val="28"/>
      </w:rPr>
      <w:t>1</w:t>
    </w:r>
    <w:r>
      <w:rPr>
        <w:rFonts w:ascii="宋体" w:hAnsi="宋体"/>
        <w:sz w:val="28"/>
      </w:rPr>
      <w:fldChar w:fldCharType="end"/>
    </w:r>
    <w:r>
      <w:rPr>
        <w:rStyle w:val="12"/>
        <w:rFonts w:hint="eastAsia" w:ascii="宋体" w:hAnsi="宋体"/>
        <w:sz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Pr>
        <w:rStyle w:val="12"/>
        <w:rFonts w:ascii="宋体" w:hAnsi="宋体"/>
        <w:sz w:val="28"/>
      </w:rPr>
    </w:pPr>
    <w:r>
      <w:rPr>
        <w:rStyle w:val="12"/>
        <w:rFonts w:hint="eastAsia" w:ascii="宋体" w:hAnsi="宋体"/>
        <w:sz w:val="28"/>
      </w:rPr>
      <w:t xml:space="preserve">— </w:t>
    </w:r>
    <w:r>
      <w:rPr>
        <w:rFonts w:ascii="宋体" w:hAnsi="宋体"/>
        <w:sz w:val="28"/>
      </w:rPr>
      <w:fldChar w:fldCharType="begin"/>
    </w:r>
    <w:r>
      <w:rPr>
        <w:rStyle w:val="12"/>
        <w:rFonts w:ascii="宋体" w:hAnsi="宋体"/>
        <w:sz w:val="28"/>
      </w:rPr>
      <w:instrText xml:space="preserve">PAGE  </w:instrText>
    </w:r>
    <w:r>
      <w:rPr>
        <w:rFonts w:ascii="宋体" w:hAnsi="宋体"/>
        <w:sz w:val="28"/>
      </w:rPr>
      <w:fldChar w:fldCharType="separate"/>
    </w:r>
    <w:r>
      <w:rPr>
        <w:rStyle w:val="12"/>
        <w:rFonts w:ascii="宋体" w:hAnsi="宋体"/>
        <w:sz w:val="28"/>
      </w:rPr>
      <w:t>2</w:t>
    </w:r>
    <w:r>
      <w:rPr>
        <w:rFonts w:ascii="宋体" w:hAnsi="宋体"/>
        <w:sz w:val="28"/>
      </w:rPr>
      <w:fldChar w:fldCharType="end"/>
    </w:r>
    <w:r>
      <w:rPr>
        <w:rStyle w:val="12"/>
        <w:rFonts w:hint="eastAsia" w:ascii="宋体" w:hAnsi="宋体"/>
        <w:sz w:val="28"/>
      </w:rPr>
      <w:t xml:space="preserve"> —</w:t>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mODA2NjQ5NGQ0NzdmZjk5OGI5ZTYxNTE3Y2MxZTUifQ=="/>
  </w:docVars>
  <w:rsids>
    <w:rsidRoot w:val="00060CB4"/>
    <w:rsid w:val="00060CB4"/>
    <w:rsid w:val="00061C1B"/>
    <w:rsid w:val="000822D0"/>
    <w:rsid w:val="000E3377"/>
    <w:rsid w:val="000F2CCC"/>
    <w:rsid w:val="00105F81"/>
    <w:rsid w:val="001200C0"/>
    <w:rsid w:val="0013432D"/>
    <w:rsid w:val="001E058A"/>
    <w:rsid w:val="002151C6"/>
    <w:rsid w:val="00217D32"/>
    <w:rsid w:val="00287379"/>
    <w:rsid w:val="002F1A1F"/>
    <w:rsid w:val="0033276D"/>
    <w:rsid w:val="00342052"/>
    <w:rsid w:val="0035372C"/>
    <w:rsid w:val="003A1CA7"/>
    <w:rsid w:val="003D1178"/>
    <w:rsid w:val="00456F52"/>
    <w:rsid w:val="0049747D"/>
    <w:rsid w:val="004D2474"/>
    <w:rsid w:val="004D72EE"/>
    <w:rsid w:val="004E4935"/>
    <w:rsid w:val="005231B4"/>
    <w:rsid w:val="0056671C"/>
    <w:rsid w:val="00591BA2"/>
    <w:rsid w:val="00595754"/>
    <w:rsid w:val="005D3D12"/>
    <w:rsid w:val="005E3318"/>
    <w:rsid w:val="00612E47"/>
    <w:rsid w:val="00661BBE"/>
    <w:rsid w:val="006B544C"/>
    <w:rsid w:val="006C7336"/>
    <w:rsid w:val="007D7810"/>
    <w:rsid w:val="007E208E"/>
    <w:rsid w:val="00881F93"/>
    <w:rsid w:val="008B1AFA"/>
    <w:rsid w:val="00932520"/>
    <w:rsid w:val="009E6BD9"/>
    <w:rsid w:val="00A7371E"/>
    <w:rsid w:val="00AD6030"/>
    <w:rsid w:val="00AF2F50"/>
    <w:rsid w:val="00AF4FCC"/>
    <w:rsid w:val="00B3449C"/>
    <w:rsid w:val="00B378AB"/>
    <w:rsid w:val="00C31B67"/>
    <w:rsid w:val="00D307AE"/>
    <w:rsid w:val="00D603A9"/>
    <w:rsid w:val="00DF46A5"/>
    <w:rsid w:val="00E20E3E"/>
    <w:rsid w:val="00EB349B"/>
    <w:rsid w:val="00F21662"/>
    <w:rsid w:val="00F3435A"/>
    <w:rsid w:val="00F34403"/>
    <w:rsid w:val="00F50AFE"/>
    <w:rsid w:val="00F571C6"/>
    <w:rsid w:val="00FD2538"/>
    <w:rsid w:val="08577C56"/>
    <w:rsid w:val="165B4E46"/>
    <w:rsid w:val="172E631D"/>
    <w:rsid w:val="1A696601"/>
    <w:rsid w:val="1AC4100B"/>
    <w:rsid w:val="1CDB4964"/>
    <w:rsid w:val="203F173A"/>
    <w:rsid w:val="277F2FF5"/>
    <w:rsid w:val="2B2871A5"/>
    <w:rsid w:val="2B8A26E2"/>
    <w:rsid w:val="2F7016CC"/>
    <w:rsid w:val="3C8811BB"/>
    <w:rsid w:val="3E5455EE"/>
    <w:rsid w:val="40D8481E"/>
    <w:rsid w:val="42F95C2A"/>
    <w:rsid w:val="43A97897"/>
    <w:rsid w:val="45D15DB9"/>
    <w:rsid w:val="466870E9"/>
    <w:rsid w:val="4A173A8B"/>
    <w:rsid w:val="4A551AA1"/>
    <w:rsid w:val="4DC03F0D"/>
    <w:rsid w:val="50562289"/>
    <w:rsid w:val="537D0ED0"/>
    <w:rsid w:val="577E16B8"/>
    <w:rsid w:val="589934BD"/>
    <w:rsid w:val="5A747DCC"/>
    <w:rsid w:val="63DA0202"/>
    <w:rsid w:val="796C5A9B"/>
    <w:rsid w:val="7A6028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480" w:lineRule="exact"/>
    </w:pPr>
    <w:rPr>
      <w:rFonts w:eastAsia="仿宋_GB2312"/>
    </w:rPr>
  </w:style>
  <w:style w:type="paragraph" w:styleId="5">
    <w:name w:val="Balloon Text"/>
    <w:basedOn w:val="1"/>
    <w:link w:val="18"/>
    <w:uiPriority w:val="0"/>
    <w:rPr>
      <w:sz w:val="18"/>
      <w:szCs w:val="18"/>
    </w:rPr>
  </w:style>
  <w:style w:type="paragraph" w:styleId="6">
    <w:name w:val="footer"/>
    <w:basedOn w:val="1"/>
    <w:unhideWhenUsed/>
    <w:qFormat/>
    <w:uiPriority w:val="0"/>
    <w:pPr>
      <w:tabs>
        <w:tab w:val="center" w:pos="4153"/>
        <w:tab w:val="right" w:pos="8306"/>
      </w:tabs>
      <w:snapToGrid w:val="0"/>
      <w:jc w:val="left"/>
    </w:pPr>
    <w:rPr>
      <w:rFonts w:eastAsia="Times New Roman"/>
      <w:kern w:val="0"/>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7"/>
    <w:qFormat/>
    <w:uiPriority w:val="0"/>
    <w:rPr>
      <w:rFonts w:eastAsia="仿宋"/>
      <w:kern w:val="2"/>
      <w:sz w:val="18"/>
      <w:szCs w:val="18"/>
    </w:rPr>
  </w:style>
  <w:style w:type="paragraph" w:styleId="15">
    <w:name w:val="List Paragraph"/>
    <w:basedOn w:val="1"/>
    <w:unhideWhenUsed/>
    <w:qFormat/>
    <w:uiPriority w:val="99"/>
    <w:pPr>
      <w:ind w:firstLine="420" w:firstLineChars="200"/>
    </w:pPr>
  </w:style>
  <w:style w:type="character" w:customStyle="1" w:styleId="16">
    <w:name w:val="标题 3 Char"/>
    <w:basedOn w:val="10"/>
    <w:link w:val="3"/>
    <w:uiPriority w:val="9"/>
    <w:rPr>
      <w:rFonts w:ascii="宋体" w:hAnsi="宋体" w:cs="宋体"/>
      <w:b/>
      <w:bCs/>
      <w:sz w:val="27"/>
      <w:szCs w:val="27"/>
    </w:rPr>
  </w:style>
  <w:style w:type="paragraph" w:customStyle="1" w:styleId="17">
    <w:name w:val="列出段落3"/>
    <w:basedOn w:val="1"/>
    <w:qFormat/>
    <w:uiPriority w:val="99"/>
    <w:pPr>
      <w:ind w:firstLine="420" w:firstLineChars="200"/>
    </w:pPr>
    <w:rPr>
      <w:rFonts w:cs="Calibri"/>
      <w:szCs w:val="21"/>
    </w:rPr>
  </w:style>
  <w:style w:type="character" w:customStyle="1" w:styleId="18">
    <w:name w:val="批注框文本 Char"/>
    <w:basedOn w:val="10"/>
    <w:link w:val="5"/>
    <w:uiPriority w:val="0"/>
    <w:rPr>
      <w:rFonts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2289-744B-4E34-BCC0-6AE3BBF054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765</Words>
  <Characters>4364</Characters>
  <Lines>36</Lines>
  <Paragraphs>10</Paragraphs>
  <TotalTime>27</TotalTime>
  <ScaleCrop>false</ScaleCrop>
  <LinksUpToDate>false</LinksUpToDate>
  <CharactersWithSpaces>5119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2020-11-13T06:36:00Z</dcterms:created>
  <dc:creator>Administrator</dc:creator>
  <cp:lastModifiedBy>武帅</cp:lastModifiedBy>
  <cp:lastPrinted>2020-09-02T00:33:00Z</cp:lastPrinted>
  <dcterms:modified xsi:type="dcterms:W3CDTF">2023-11-22T11:51:06Z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4AECB5BA7D9D458993CC666803743A1D_12</vt:lpwstr>
  </property>
</Properties>
</file>