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jc w:val="center"/>
        <w:rPr>
          <w:rFonts w:ascii="Arial" w:hAnsi="Arial" w:cs="Arial"/>
          <w:i w:val="0"/>
          <w:iCs w:val="0"/>
          <w:caps w:val="0"/>
          <w:color w:val="333333"/>
          <w:spacing w:val="0"/>
          <w:sz w:val="24"/>
          <w:szCs w:val="24"/>
        </w:rPr>
      </w:pPr>
      <w:bookmarkStart w:id="0" w:name="_GoBack"/>
      <w:r>
        <w:rPr>
          <w:rStyle w:val="5"/>
          <w:rFonts w:hint="default" w:ascii="Arial" w:hAnsi="Arial" w:cs="Arial"/>
          <w:b/>
          <w:bCs/>
          <w:i w:val="0"/>
          <w:iCs w:val="0"/>
          <w:caps w:val="0"/>
          <w:color w:val="333333"/>
          <w:spacing w:val="0"/>
          <w:sz w:val="24"/>
          <w:szCs w:val="24"/>
          <w:bdr w:val="none" w:color="auto" w:sz="0" w:space="0"/>
          <w:shd w:val="clear" w:fill="FFFFFF"/>
        </w:rPr>
        <w:t>食用农产品市场销售质量安全监督管理办法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（2023年6月30日国家市场监督管理总局令第81号公布　　自2023年12月1日起施行）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第一条　为了规范食用农产品市场销售行为，加强食用农产品市场销售质量安全监督管理，保障食用农产品质量安全，根据《</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"https://baike.sogou.com/lemma/ShowInnerLink.htm?lemmaId=100401648&amp;ss_c=ssc.citiao.link"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中华人民共和国食品安全法</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》（以下简称</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"https://baike.sogou.com/lemma/ShowInnerLink.htm?lemmaId=100401648&amp;ss_c=ssc.citiao.link"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食品安全法</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）、《中华人民共和国农产品质量安全法》、《</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"https://baike.sogou.com/lemma/ShowInnerLink.htm?lemmaId=100401648&amp;ss_c=ssc.citiao.link"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中华人民共和国食品安全法实施条例</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》（以下简称</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"https://baike.sogou.com/lemma/ShowInnerLink.htm?lemmaId=4949553&amp;ss_c=ssc.citiao.link"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食品安全法实施条例</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第二条　食用农产品市场销售质量安全及其监督管理适用本办法。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本办法所称食用农产品市场销售，是指通过食用农产品集中交易市场（以下简称集中交易市场）、商场、超市、便利店等固定场所销售食用农产品的活动，不包括食用农产品收购行为。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第三条　国家市场监督管理总局负责制定食用农产品市场销售质量安全监督管理制度，监督指导全国食用农产品市场销售质量安全的监督管理工作。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省、自治区、直辖市市场监督管理部门负责监督指导本行政区域食用农产品市场销售质量安全的监督管理工作。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市、县级市场监督管理部门负责本行政区域食用农产品市场销售质量安全的监督管理工作。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第四条　县级以上市场监督管理部门应当与同级农业农村等相关部门建立健全食用农产品市场销售质量安全监督管理协作机制，加强信息共享，推动产地准出与市场准入衔接，保证市场销售的食用农产品可追溯。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第五条　食用农产品市场销售相关行业组织应当加强行业自律，督促集中交易市场开办者和销售者履行法律义务，规范集中交易市场食品安全管理行为和销售者经营行为，提高食用农产品质量安全保障水平。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第六条　　在严格执行食品安全标准的基础上，鼓励食用农产品销售企业通过应用推荐性国家标准、行业标准以及团体标准等促进食用农产品高质量发展。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第七条　食用农产品销售者（以下简称销售者）应当保持销售场所环境整洁，与有毒、有害场所以及其他污染源保持适当的距离，防止交叉污染。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销售生鲜食用农产品，不得使用对食用农产品的真实色泽等感官性状造成明显改变的照明等设施误导消费者对商品的感官认知。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鼓励采用净菜上市、冷鲜上市等方式销售食用农产品。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第八条　销售者采购食用农产品，应当依照食品安全法第六十五条的规定建立食用农产品进货查验记录制度，索取并留存食用农产品进货凭证，并核对供货者等有关信息。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采购按照规定应当检疫、检验的肉类，应当索取并留存</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"https://baike.sogou.com/lemma/ShowInnerLink.htm?lemmaId=63505553&amp;ss_c=ssc.citiao.link"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动物检疫合格证明</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、肉品品质检验合格证等证明文件。采购进口食用农产品，应当索取并留存海关部门出具的入境货物检验检疫证明等证明文件。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供货者提供的销售凭证、食用农产品采购协议等凭证中含有食用农产品名称、数量、供货日期以及供货者名称、地址、联系方式等进货信息的，可以作为食用农产品的进货凭证。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第九条　从事连锁经营和批发业务的食用农产品销售企业应当主动加强对采购渠道的审核管理，优先采购附具承诺达标合格证或者其他产品质量合格凭证的食用农产品，不得采购不符合食品安全标准的食用农产品。对无法提供承诺达标合格证或者其他产品质量合格凭证的，鼓励销售企业进行抽样检验或者快速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除生产者或者供货者出具的承诺达标合格证外，自检合格证明、有关部门出具的检验检疫合格证明等也可以作为食用农产品的产品质量合格凭证。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第十条　实行统一配送销售方式的食用农产品销售企业，对统一配送的食用农产品可以由企业总部统一建立进货查验记录制度并保存进货凭证和产品质量合格凭证；所属各销售门店应当保存总部的配送清单，提供可查验相应凭证的方式。配送清单保存期限不得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第十一条　从事批发业务的食用农产品销售企业应当建立食用农产品销售记录制度，如实记录批发食用农产品的名称、数量、进货日期、销售日期以及购货者名称、地址、联系方式等内容，并保存相关凭证。记录和凭证保存期限不得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销售即食食用农产品还应当如实标明具体制作时间。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食用农产品标签所用文字应当使用规范的中文，标注的内容应当清楚、明显，不得含有虚假、错误或者其他误导性内容。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鼓励销售者在销售场所明显位置展示食用农产品的承诺达标合格证。带包装销售食用农产品的，鼓励在包装上标明生产日期或者包装日期、贮存条件以及最佳食用期限等内容。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进口鲜冻肉类产品的外包装上应当以中文标明规格、产地、目的地、生产日期、保质期、贮存条件等内容。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分装销售的进口食用农产品，应当在包装上保留原进口食用农产品全部信息以及分装企业、分装时间、地点、保质期等信息。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第十四条　销售者通过去皮、切割等方式简单加工、销售即食食用农产品的，应当采取有效措施做好食品安全防护，防止交叉污染。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第十五条　禁止销售者采购、销售食品安全法第三十四条规定情形的食用农产品。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可拣选的果蔬类食用农产品带泥、带沙、带虫、部分枯萎，以及可拣选的水产品带水、带泥、带沙等，不属于食品安全法第三十四条第六项规定的腐败变质、霉变生虫、污秽不洁、混有异物、掺假掺杂或者感官性状异常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销售者委托贮存食用农产品的，应当选择取得营业执照等合法主体资格、能够</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"https://baike.sogou.com/lemma/ShowInnerLink.htm?lemmaId=73507473&amp;ss_c=ssc.citiao.link"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保障食品安全</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的贮存服务提供者，并监督受托方按照保证食品安全的要求贮存食用农产品。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第十七条　接受销售者委托贮存食用农产品的贮存服务提供者，应当按照保证食品安全的要求，加强贮存过程管理，履行下列义务：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（一）如实记录委托方名称或者姓名、地址、联系方式等内容，记录保存期限不得少于贮存结束后二年；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"https://baike.sogou.com/lemma/ShowInnerLink.htm?lemmaId=69550676&amp;ss_c=ssc.citiao.link"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统一社会信用代码</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、联系方式等信息；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（三）保证贮存食用农产品的容器、工具和设备安全无害，保持清洁，防止污染，保证食品安全所需的温度、湿度和环境等特殊要求，不得将食用农产品与有毒、有害物品一同贮存；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（四）贮存肉类冻品应当查验并留存有关动物检疫合格证明、肉品品质检验合格证等证明文件；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（五）贮存进口食用农产品，应当查验并留存海关部门出具的入境货物检验检疫证明等证明文件；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（六）定期检查库存食用农产品，发现销售者有违法行为的，应当及时制止并立即报告所在地县级市场监督管理部门；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（七）法律、法规规定的其他义务。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第十九条　集中交易市场开办者应当建立健全食品安全管理制度，履行入场销售者登记建档、签订协议、入场查验、场内检查、信息公示、食品安全违法行为制止及报告、</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"https://baike.sogou.com/lemma/ShowInnerLink.htm?lemmaId=7922659&amp;ss_c=ssc.citiao.link"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食品安全事故</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处置、投诉举报处置等管理义务，食用农产品批发市场（以下简称批发市场）开办者还应当履行抽样检验、统一销售凭证格式以及监督入场销售者开具销售凭证等管理义务。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第二十条　集中交易市场开办者应当在市场开业前向所在地县级市场监督管理部门如实报告市场名称、住所、类型、法定代表人或者负责人姓名、食用农产品主要种类等信息。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集中交易市场开办者应当建立入场销售者档案并及时更新，如实记录销售者名称或者姓名、统一社会信用代码或者</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"https://baike.sogou.com/lemma/ShowInnerLink.htm?lemmaId=7481905&amp;ss_c=ssc.citiao.link"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身份证号码</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、联系方式，以及市场自查和抽检中发现的问题和处理信息。入场销售者档案信息保存期限不少于销售者停止销售后六个月。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第二十一条　集中交易市场开办者应当按照食用农产品类别实行分区销售，为入场销售者提供符合食品安全要求的环境、设施、设备等经营条件，定期检查和维护，并做好检查记录。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第二十二条　鼓励集中交易市场开办者改造升级，为入场销售者提供满足经营需要的冷藏、冷冻、保鲜等专业贮存场所，更新设施、设备，提高食品安全保障能力和水平。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鼓励集中交易市场开办者采用信息化手段统一采集食用农产品进货、贮存、运输、交易等数据信息，提高食品安全追溯能力和水平。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集中交易市场开办者对声称销售自产食用农产品的，应当查验自产食用农产品的承诺达标合格证或者查验并留存销售者身份证号码、联系方式、住所以及食用农产品名称、数量、入场日期等信息。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对无法提供承诺达标合格证或者其他产品质量合格凭证的食用农产品，集中交易市场开办者应当进行抽样检验或者快速检测，结果合格的，方可允许进入市场销售。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鼓励和引导有条件的集中交易市场开办者对场内销售的食用农产品集中建立进货查验记录制度。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第二十四条　集中交易市场开办者应当配备</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"https://baike.sogou.com/lemma/ShowInnerLink.htm?lemmaId=71061825&amp;ss_c=ssc.citiao.link"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食品安全员</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等食品安全管理人员，加强对食品安全管理人员的培训和考核；批发市场开办者还应当配备食品安全总监。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第二十五条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集中交易市场开办者发现场内食用农产品不符合食品安全标准的，应当要求入场销售者立即停止销售，依照集中交易市场管理规定或者与入场销售者签订的协议进行销毁或者</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"https://baike.sogou.com/lemma/ShowInnerLink.htm?lemmaId=44220680&amp;ss_c=ssc.citiao.link"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无害化处理</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，如实记录不合格食用农产品数量、产地、销售者、销毁方式等内容，留存不合格食用农产品销毁影像信息，并向所在地县级市场监督管理部门报告。记录保存期限不少于销售者停止销售后六个月。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第二十六条　集中交易市场开办者应当在醒目位置及时公布本市场食品安全管理制度、食品安全管理人员、投诉举报电话、市场自查结果、食用农产品抽样检验信息以及不合格食用农产品处理结果等信息。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公布的食用农产品抽样检验信息应当包括检验项目和检验结果。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批发市场开办者印制或者按照批发市场要求印制的销售凭证，以及包括前款所列项目信息的</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"https://baike.sogou.com/lemma/ShowInnerLink.htm?lemmaId=68921235&amp;ss_c=ssc.citiao.link"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电子凭证</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可以作为入场销售者的销售记录和相关购货者的进货凭证。销售凭证保存期限不得少于六个月。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第二十八条　与屠宰厂（场）、食用农产品种植养殖基地签订协议的批发市场开办者应当对屠宰厂（场）和食用农产品种植养殖基地进行实地考察，了解食用农产品生产过程以及相关信息。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第二十九条　县级以上市场监督管理部门按照本行政区域食品安全年度监督管理计划，对集中交易市场开办者、销售者及其委托的贮存服务提供者遵守本办法情况进行日常监督检查：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（一）对食用农产品销售、贮存等场所、设施、设备，以及信息公示情况等进行现场检查；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（二）向当事人和其他有关人员调查了解与食用农产品销售活动和质量安全有关的情况；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（三）检查食用农产品进货查验记录制度落实情况，查阅、复制与食用农产品质量安全有关的记录、协议、发票以及其他资料；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（四）检查集中交易市场抽样检验情况；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（五）对集中交易市场的食品安全总监、食品安全员随机进行监督抽查考核并公布考核结果；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（六）对食用农产品进行抽样，送有资质的食品检验机构进行检验；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（七）对有证据证明不符合食品安全标准或者有证据证明存在质量安全隐患以及用于违法生产经营的食用农产品，有权查封、扣押、监督销毁；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（八）依法查封违法从事食用农产品销售活动的场所。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集中交易市场开办者、销售者及其委托的贮存服务提供者对市场监督管理部门依法实施的监督检查应当予以配合，不得拒绝、阻挠、干涉。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第三十条　市、县级市场监督管理部门可以采用国家规定的快速检测方法对食用农产品质量安全进行抽查检测，抽查检测结果表明食用农产品可能存在质量安全隐患的，销售者应当暂停销售；抽查检测结果确定食用农产品不符合食品安全标准的，可以作为行政处罚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被抽查人对快速检测结果有异议的，可以自收到检测结果时起四小时内申请复检。复检结论仍不合格的，复检费用由申请人承担。复检不得采用快速检测方法。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第三十一条　市、县级市场监督管理部门应当依据职责公布食用农产品质量安全监督管理信息。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公布食用农产品质量安全监督管理信息，应当做到准确、及时、客观，并进行必要的解释说明，避免误导消费者和社会舆论。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第三十二条　县级以上市场监督管理部门应当加强信息化建设，汇总分析食用农产品质量安全信息，加强监督管理，防范食品安全风险。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第三十三条　县级以上地方市场监督管理部门应当将监督检查、违法行为查处等情况记入集中交易市场开办者、销售者食品安全信用档案，并依法通过</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"https://baike.sogou.com/lemma/ShowInnerLink.htm?lemmaId=168023168&amp;ss_c=ssc.citiao.link"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国家企业信用信息公示系统</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对于性质恶劣、情节严重、社会危害较大，受到市场监督管理部门较重行政处罚的，依法列入市场监督管理严重违法失信名单，采取提高检查频次等管理措施，并依法实施联合惩戒。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市、县级市场监督管理部门应当逐步建立销售者市场准入前信用承诺制度，要求销售者以规范格式向社会作出公开承诺，如存在违法失信销售行为将自愿接受信用惩戒。信用承诺纳入销售者信用档案，接受社会监督，并作为事中事后监督管理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第三十四条　食用农产品在销售过程中存在质量安全隐患，未及时采取有效措施消除的，市、县级市场监督管理部门可以对集中交易市场开办者、销售企业负责人进行责任约谈。被约谈者无正当理由拒不按时参加约谈或者未按要求落实整改的，市场监督管理部门应当记入集中交易市场开办者、销售</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"https://baike.sogou.com/lemma/ShowInnerLink.htm?lemmaId=46789573&amp;ss_c=ssc.citiao.link"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企业信用档案</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第三十五条　市、县级市场监督管理部门发现批发市场有国家法律法规及本办法禁止销售的食用农产品，在依法处理的同时，应当及时追查食用农产品来源和流向，查明原因、控制风险并报告上级市场监督管理部门，同时通报所涉地同级市场监督管理部门；涉及种植养殖和进出口环节的，还应当通报农业农村主管部门和海关部门。所涉地市场监督管理部门接到通报后应当积极配合开展调查，控制风险，并加强与事发地市场监督管理部门的信息通报和执法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市、县级市场监督管理部门发现超出其管辖范围的食用农产品质量安全案件线索，应当及时移送有管辖权的市、县级市场监督管理部门。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第三十六条　市、县级市场监督管理部门发现下列情形之一的，应当及时通报所在地同级农业农村主管部门：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（一）农产品生产企业、</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"https://baike.sogou.com/lemma/ShowInnerLink.htm?lemmaId=7571048&amp;ss_c=ssc.citiao.link"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农民专业合作社</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、从事农产品收购的单位或者个人未按照规定出具承诺达标合格证；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（二）承诺达标合格证存在虚假信息；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（三）附具承诺达标合格证的食用农产品不合格；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（四）其他有关承诺达标合格证违法违规行为。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农业农村主管部门发现附具承诺达标合格证的食用农产品不合格，向所在地市、县级市场监督管理部门通报的，市、县级市场监督管理部门应当根据农业农村主管部门提供的流向信息，及时追查不合格食用农产品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第三十七条　县级以上地方市场监督管理部门在监督管理中发现食用农产品质量安全事故，或者接到食用农产品质量安全事故的投诉举报，应当立即会同相关部门进行调查处理，采取措施防止或者减少社会危害。按照应急预案的规定报告当地人民政府和上级市场监督管理部门，并在当地人民政府统一领导下及时开展食用农产品质量安全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第三十八条　销售者违反本办法第七条第一、二款、第十六条、第十八条规定，食用农产品贮存和运输受托方违反本办法第十七条、第十八条规定，有下列情形之一的，由县级以上市场监督管理部门责令改正，</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"https://baike.sogou.com/lemma/ShowInnerLink.htm?lemmaId=64897623&amp;ss_c=ssc.citiao.link"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给予</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警告；拒不改正的，处五千元以上三万元以下罚款：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（一）销售和贮存场所环境、设施、设备等不符合食用农产品质量安全要求的；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（二）销售、贮存和运输对温度、湿度等有特殊要求的食用农产品，未配备必要的保温、冷藏或者冷冻等设施设备并保持有效运行的；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（三）贮存期间未定期检查，及时清理腐败变质、油脂酸败、霉变生虫或者感官性状异常的食用农产品的。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第三十九条　有下列情形之一的，由县级以上市场监督管理部门依照食品安全法第一百二十六条第一款的规定给予处罚：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（一）销售者违反本办法第八条第一款规定，未按要求建立食用农产品进货查验记录制度，或者未按要求索取进货凭证的；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（二）销售者违反本办法第八条第二款规定，采购、销售按规定应当检疫、检验的肉类或进口食用农产品，未索取或留存相关证明文件的；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（三）从事批发业务的食用农产品销售企业违反本办法第十一条规定，未按要求建立食用农产品销售记录制度的。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第四十条　销售者违反本办法第十二条、第十三条规定，未按要求标明食用农产品相关信息的，由县级以上市场监督管理部门责令改正；拒不改正的，处二千元以上一万元以下罚款。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第四十一条　销售者违反本办法第十四条规定，加工、销售即食食用农产品，未采取有效措施做好食品安全防护，造成污染的，由县级以上市场监督管理部门责令改正；拒不改正的，处五千元以上三万元以下罚款。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第四十二条　销售者违反本办法第十五条规定，采购、销售食品安全法第三十四条规定情形的食用农产品的，由县级以上市场监督管理部门依照食品安全法有关规定给予处罚。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第四十五条　集中交易市场开办者违反本办法第二十条第二款、第二十一条、第二十三条规定，有下列情形之一的，由县级以上市场监督管理部门责令改正；拒不改正的，处五千元以上三万元以下罚款：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（一）未按要求建立入场销售者档案并及时更新的；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（二）未按照食用农产品类别实施分区销售，经营条件不符合食品安全要求，或者未按规定对市场经营环境和条件进行定期检查和维护的；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（三）未按要求查验入场销售者和入场食用农产品的相关凭证信息，允许无法提供进货凭证的食用农产品入场销售，或者对无法提供食用</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"https://baike.sogou.com/lemma/ShowInnerLink.htm?lemmaId=10043445&amp;ss_c=ssc.citiao.link"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农产品质量</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合格凭证的食用农产品未经抽样检验合格即允许入场销售的。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第四十六条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集中交易市场开办者违反本办法第二十六条规定，未按要求公布食用农产品相关信息的，由县级以上市场监督管理部门责令改正；拒不改正的，处二千元以上一万元以下罚款。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第四十七条　批发市场开办者违反本办法第二十五条第一款规定，未依法对进入该批发市场销售的食用农产品进行抽样检验的，由县级以上市场监督管理部门依照食品安全法第一百三十条第二款的规定给予处罚。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第四十八条　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第四十九条　本办法下列用语的含义：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食用农产品，指来源于种植业、林业、畜牧业和渔业等供人食用的初级产品，即在农业活动中获得的供人食用的植物、动物、微生物及其产品，不包括法律法规禁止食用的野生动物产品及其制品。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即食食用农产品，指以生鲜食用农产品为原料，经过清洗、去皮、切割等简单加工后，可供人直接食用的食用农产品。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食用农产品集中交易市场，是指销售食用农产品的批发市场和零售市场（含农贸市场等集中零售市场）。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食用农产品集中交易市场开办者，指依法设立、为食用农产品批发、零售提供场地、设施、服务以及日常管理的</w:t>
      </w:r>
      <w:r>
        <w:rPr>
          <w:rFonts w:hint="default" w:ascii="Arial" w:hAnsi="Arial" w:cs="Arial"/>
          <w:i w:val="0"/>
          <w:iCs w:val="0"/>
          <w:caps w:val="0"/>
          <w:color w:val="3366CC"/>
          <w:spacing w:val="0"/>
          <w:sz w:val="24"/>
          <w:szCs w:val="24"/>
          <w:u w:val="none"/>
          <w:bdr w:val="none" w:color="auto" w:sz="0" w:space="0"/>
          <w:shd w:val="clear" w:fill="FFFFFF"/>
        </w:rPr>
        <w:fldChar w:fldCharType="begin"/>
      </w:r>
      <w:r>
        <w:rPr>
          <w:rFonts w:hint="default" w:ascii="Arial" w:hAnsi="Arial" w:cs="Arial"/>
          <w:i w:val="0"/>
          <w:iCs w:val="0"/>
          <w:caps w:val="0"/>
          <w:color w:val="3366CC"/>
          <w:spacing w:val="0"/>
          <w:sz w:val="24"/>
          <w:szCs w:val="24"/>
          <w:u w:val="none"/>
          <w:bdr w:val="none" w:color="auto" w:sz="0" w:space="0"/>
          <w:shd w:val="clear" w:fill="FFFFFF"/>
        </w:rPr>
        <w:instrText xml:space="preserve"> HYPERLINK "https://baike.sogou.com/lemma/ShowInnerLink.htm?lemmaId=1865311&amp;ss_c=ssc.citiao.link" \t "https://baike.sogou.com/_blank" </w:instrText>
      </w:r>
      <w:r>
        <w:rPr>
          <w:rFonts w:hint="default" w:ascii="Arial" w:hAnsi="Arial" w:cs="Arial"/>
          <w:i w:val="0"/>
          <w:iCs w:val="0"/>
          <w:caps w:val="0"/>
          <w:color w:val="3366CC"/>
          <w:spacing w:val="0"/>
          <w:sz w:val="24"/>
          <w:szCs w:val="24"/>
          <w:u w:val="none"/>
          <w:bdr w:val="none" w:color="auto" w:sz="0" w:space="0"/>
          <w:shd w:val="clear" w:fill="FFFFFF"/>
        </w:rPr>
        <w:fldChar w:fldCharType="separate"/>
      </w:r>
      <w:r>
        <w:rPr>
          <w:rStyle w:val="6"/>
          <w:rFonts w:hint="default" w:ascii="Arial" w:hAnsi="Arial" w:cs="Arial"/>
          <w:i w:val="0"/>
          <w:iCs w:val="0"/>
          <w:caps w:val="0"/>
          <w:color w:val="3366CC"/>
          <w:spacing w:val="0"/>
          <w:sz w:val="24"/>
          <w:szCs w:val="24"/>
          <w:u w:val="none"/>
          <w:bdr w:val="none" w:color="auto" w:sz="0" w:space="0"/>
          <w:shd w:val="clear" w:fill="FFFFFF"/>
        </w:rPr>
        <w:t>企业法人</w:t>
      </w:r>
      <w:r>
        <w:rPr>
          <w:rFonts w:hint="default" w:ascii="Arial" w:hAnsi="Arial" w:cs="Arial"/>
          <w:i w:val="0"/>
          <w:iCs w:val="0"/>
          <w:caps w:val="0"/>
          <w:color w:val="3366CC"/>
          <w:spacing w:val="0"/>
          <w:sz w:val="24"/>
          <w:szCs w:val="24"/>
          <w:u w:val="none"/>
          <w:bdr w:val="none" w:color="auto" w:sz="0" w:space="0"/>
          <w:shd w:val="clear" w:fill="FFFFFF"/>
        </w:rPr>
        <w:fldChar w:fldCharType="end"/>
      </w:r>
      <w:r>
        <w:rPr>
          <w:rFonts w:hint="default" w:ascii="Arial" w:hAnsi="Arial" w:cs="Arial"/>
          <w:i w:val="0"/>
          <w:iCs w:val="0"/>
          <w:caps w:val="0"/>
          <w:color w:val="333333"/>
          <w:spacing w:val="0"/>
          <w:sz w:val="24"/>
          <w:szCs w:val="24"/>
          <w:bdr w:val="none" w:color="auto" w:sz="0" w:space="0"/>
          <w:shd w:val="clear" w:fill="FFFFFF"/>
        </w:rPr>
        <w:t>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食用农产品销售者，指通过固定场所销售食用农产品的个人或者企业，既包括通过集中交易市场销售食用农产品的入场销售者，也包括销售食用农产品的商场、超市、便利店等食品经营者。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第五十条　食品摊贩等销售食用农产品的具体管理规定由省、自治区、直辖市制定。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第五十一条　本办法自2023年12月1日起施行。2016年1月5日原国家食品药品监督管理总局令第20号公布的《食用农产品市场销售质量安全监督管理办法》同时废止。</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ODg2ZTZlZjRlYWE1YmIwNDViMzcwNDBjMmVhZGUifQ=="/>
  </w:docVars>
  <w:rsids>
    <w:rsidRoot w:val="5C654CD0"/>
    <w:rsid w:val="5C65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2023-12-10T08:23:00Z</dcterms:created>
  <dc:creator>周敏</dc:creator>
  <cp:lastModifiedBy>周敏</cp:lastModifiedBy>
  <dcterms:modified xsi:type="dcterms:W3CDTF">2023-12-10T08:24:24Z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12588DF6746646EEB3E332CCBC339FBB_11</vt:lpwstr>
  </property>
</Properties>
</file>